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4D" w:rsidRDefault="00160D4D">
      <w:pPr>
        <w:spacing w:line="276" w:lineRule="auto"/>
        <w:divId w:val="1957440262"/>
      </w:pPr>
    </w:p>
    <w:tbl>
      <w:tblPr>
        <w:tblW w:w="5000" w:type="pct"/>
        <w:tblCellSpacing w:w="0" w:type="dxa"/>
        <w:tblCellMar>
          <w:left w:w="0" w:type="dxa"/>
          <w:right w:w="0" w:type="dxa"/>
        </w:tblCellMar>
        <w:tblLook w:val="04A0"/>
      </w:tblPr>
      <w:tblGrid>
        <w:gridCol w:w="9355"/>
      </w:tblGrid>
      <w:tr w:rsidR="00160D4D">
        <w:trPr>
          <w:divId w:val="1957440262"/>
          <w:tblCellSpacing w:w="0" w:type="dxa"/>
        </w:trPr>
        <w:tc>
          <w:tcPr>
            <w:tcW w:w="0" w:type="auto"/>
            <w:vAlign w:val="center"/>
            <w:hideMark/>
          </w:tcPr>
          <w:p w:rsidR="00160D4D" w:rsidRDefault="00160D4D">
            <w:pPr>
              <w:spacing w:line="276" w:lineRule="auto"/>
              <w:jc w:val="center"/>
              <w:rPr>
                <w:b/>
                <w:bCs/>
                <w:sz w:val="28"/>
                <w:szCs w:val="28"/>
              </w:rPr>
            </w:pPr>
            <w:r>
              <w:rPr>
                <w:b/>
                <w:bCs/>
                <w:sz w:val="28"/>
                <w:szCs w:val="28"/>
              </w:rPr>
              <w:t>Информация о социально-экономическом развитии</w:t>
            </w:r>
          </w:p>
        </w:tc>
      </w:tr>
      <w:tr w:rsidR="00160D4D">
        <w:trPr>
          <w:divId w:val="1957440262"/>
          <w:tblCellSpacing w:w="0" w:type="dxa"/>
        </w:trPr>
        <w:tc>
          <w:tcPr>
            <w:tcW w:w="0" w:type="auto"/>
            <w:tcBorders>
              <w:bottom w:val="single" w:sz="8" w:space="0" w:color="000000"/>
            </w:tcBorders>
            <w:vAlign w:val="center"/>
            <w:hideMark/>
          </w:tcPr>
          <w:p w:rsidR="00160D4D" w:rsidRDefault="00160D4D" w:rsidP="00635619">
            <w:pPr>
              <w:spacing w:line="276" w:lineRule="auto"/>
              <w:jc w:val="center"/>
              <w:rPr>
                <w:sz w:val="28"/>
                <w:szCs w:val="28"/>
              </w:rPr>
            </w:pPr>
            <w:r>
              <w:rPr>
                <w:b/>
                <w:bCs/>
                <w:sz w:val="28"/>
                <w:szCs w:val="28"/>
              </w:rPr>
              <w:t>Бурлинского района в 20</w:t>
            </w:r>
            <w:r w:rsidR="00635619">
              <w:rPr>
                <w:b/>
                <w:bCs/>
                <w:sz w:val="28"/>
                <w:szCs w:val="28"/>
              </w:rPr>
              <w:t>20</w:t>
            </w:r>
            <w:r>
              <w:rPr>
                <w:b/>
                <w:bCs/>
                <w:sz w:val="28"/>
                <w:szCs w:val="28"/>
              </w:rPr>
              <w:t xml:space="preserve"> году.</w:t>
            </w:r>
          </w:p>
        </w:tc>
      </w:tr>
      <w:tr w:rsidR="00160D4D">
        <w:trPr>
          <w:divId w:val="1957440262"/>
          <w:tblCellSpacing w:w="0" w:type="dxa"/>
        </w:trPr>
        <w:tc>
          <w:tcPr>
            <w:tcW w:w="0" w:type="auto"/>
            <w:vAlign w:val="center"/>
            <w:hideMark/>
          </w:tcPr>
          <w:p w:rsidR="00160D4D" w:rsidRDefault="00160D4D">
            <w:pPr>
              <w:pStyle w:val="a3"/>
              <w:spacing w:line="276" w:lineRule="auto"/>
              <w:jc w:val="center"/>
              <w:rPr>
                <w:sz w:val="22"/>
                <w:szCs w:val="22"/>
              </w:rPr>
            </w:pPr>
            <w:r w:rsidRPr="00B7173A">
              <w:rPr>
                <w:sz w:val="22"/>
                <w:szCs w:val="22"/>
              </w:rPr>
              <w:t>(официальное наименование городского округа (муниципального района)</w:t>
            </w:r>
          </w:p>
        </w:tc>
      </w:tr>
    </w:tbl>
    <w:p w:rsidR="00160D4D" w:rsidRDefault="00160D4D">
      <w:pPr>
        <w:spacing w:after="240" w:line="276" w:lineRule="auto"/>
        <w:divId w:val="1957440262"/>
      </w:pPr>
      <w:r>
        <w:br/>
      </w:r>
      <w:r>
        <w:br/>
      </w:r>
    </w:p>
    <w:p w:rsidR="00160D4D" w:rsidRDefault="00160D4D">
      <w:pPr>
        <w:spacing w:after="240" w:line="276" w:lineRule="auto"/>
        <w:jc w:val="center"/>
        <w:divId w:val="1181965045"/>
      </w:pPr>
      <w:r>
        <w:rPr>
          <w:rStyle w:val="a4"/>
          <w:sz w:val="28"/>
          <w:szCs w:val="28"/>
        </w:rPr>
        <w:t xml:space="preserve">Промышленное производство </w:t>
      </w:r>
    </w:p>
    <w:p w:rsidR="00160D4D" w:rsidRDefault="00160D4D">
      <w:pPr>
        <w:pStyle w:val="a3"/>
        <w:spacing w:before="0" w:beforeAutospacing="0" w:after="0" w:afterAutospacing="0" w:line="276" w:lineRule="auto"/>
        <w:jc w:val="both"/>
        <w:divId w:val="2053186187"/>
        <w:rPr>
          <w:sz w:val="28"/>
          <w:szCs w:val="28"/>
        </w:rPr>
      </w:pPr>
      <w:r>
        <w:rPr>
          <w:sz w:val="28"/>
          <w:szCs w:val="28"/>
        </w:rPr>
        <w:t xml:space="preserve">Темп роста номинальной заработной платы по крупным и средним предприятиям составил 109 %. Уменьшился на 20 % объём производства промышленной продукции. Уменьшение объема произведенной продукции показали МУП «БТС» в производстве пара и горячей воды (90%) и сельскохозяйственные организации в производстве растительных кормов (64%). За 2020 год осуществлено 3 конкурентных закупок на сумму 31,9 млн. руб. За счет проведенных закупочных процедур снижение от начальной цены контрактов по результатам проведенных закупок составило 3,2 млн. руб. В 2020 году район посетили 7877 человек (с учётом неорганизованных туристов), а это 89,4 % к 2019 году. Осуществляется реализация утверждённого плана мероприятий по развитию туризма в Бурлинском районе на 2016-2020 годы (актуализирован на 2021-2025 годы). Остается актуальной работа по привлечению инвесторов для работы туристско-рекреационной зоны на базе Бурлинской системы озёр. </w:t>
      </w:r>
    </w:p>
    <w:p w:rsidR="00160D4D" w:rsidRDefault="00160D4D">
      <w:pPr>
        <w:spacing w:line="276" w:lineRule="auto"/>
        <w:jc w:val="center"/>
        <w:divId w:val="1181965045"/>
      </w:pPr>
    </w:p>
    <w:p w:rsidR="00160D4D" w:rsidRDefault="00160D4D">
      <w:pPr>
        <w:spacing w:after="240" w:line="276" w:lineRule="auto"/>
        <w:jc w:val="center"/>
        <w:divId w:val="1282959195"/>
      </w:pPr>
      <w:r>
        <w:rPr>
          <w:rStyle w:val="a4"/>
          <w:sz w:val="28"/>
          <w:szCs w:val="28"/>
        </w:rPr>
        <w:t xml:space="preserve">Сельскохозяйственное производство </w:t>
      </w:r>
    </w:p>
    <w:p w:rsidR="00160D4D" w:rsidRDefault="00160D4D" w:rsidP="00635619">
      <w:pPr>
        <w:pStyle w:val="a3"/>
        <w:spacing w:before="0" w:beforeAutospacing="0" w:after="0" w:afterAutospacing="0" w:line="276" w:lineRule="auto"/>
        <w:jc w:val="both"/>
        <w:divId w:val="2107069808"/>
        <w:rPr>
          <w:sz w:val="28"/>
          <w:szCs w:val="28"/>
        </w:rPr>
      </w:pPr>
      <w:r>
        <w:rPr>
          <w:sz w:val="28"/>
          <w:szCs w:val="28"/>
        </w:rPr>
        <w:t xml:space="preserve">Основой экономики района, его благосостояния, является сельскохозяйственное производство, которое кроме всего прочего несёт на себе большую социальную нагрузку, поскольку предприятия и аграрный бизнес обеспечивают местное население рабочими местами, снабжают производственной продукцией и при этом, зачастую помогают в решении вопросов местного значения в селах. В 2020 году на территории района продолжали работать 3 крупных сельхозпредприятия, 10 К(Ф)Х и ИП, внесённых в реестр сельхозтоваропроизводителей Алтайского края. К сожалению, по различным объективным и субъективным причинам сохранилась тенденция к сокращению количества занятых в сельскохозяйственном производстве. Численность работников аграрного сектора в 2020 году составила 353 человека, из них в К(Ф)Х и ИП – 20 человек. По сравнению с прошлогодним произошло сокращение </w:t>
      </w:r>
      <w:r>
        <w:rPr>
          <w:sz w:val="28"/>
          <w:szCs w:val="28"/>
        </w:rPr>
        <w:lastRenderedPageBreak/>
        <w:t>работников на 130 человек, обеспеченность специалистами и руководителями составила</w:t>
      </w:r>
      <w:r w:rsidR="00CC0BDB">
        <w:rPr>
          <w:sz w:val="28"/>
          <w:szCs w:val="28"/>
        </w:rPr>
        <w:t xml:space="preserve"> </w:t>
      </w:r>
      <w:r>
        <w:rPr>
          <w:sz w:val="28"/>
          <w:szCs w:val="28"/>
        </w:rPr>
        <w:t xml:space="preserve">73,5 %, что явно недостаточно. Дефицит кадров остро ощущается на всех производственных участках. В целом 2020 год стал провальным для нашей сельскохозяйственной отрасли, о чём свидетельствует значительное снижение показателей в полеводстве и животноводстве, уровня экономической эффективности большинства сельхозтоваропроизводителей. Накопившиеся финансовые и хозяйственные проблемы в предыдущие неурожайные годы, холодная весна и засушливое лето, а где-то и отсутствие должного уровня организаторской работы и управленческой деятельности, не позволили добиться желаемого результата в связи со снижением продуктивности на производстве. По сравнению с предыдущим годом с 47294 га до 45567 га (на 1727 га) сократилась общая посевная площадь, в том числе, с 23527 га до 20106 га (на 3421 га) – площадь зерновых культур, с 8866 га до 7960 га (на 906) – площадь под подсолнечником. Сложные погодные условия во многом повлияли на уровень урожайности практически всех сельскохозяйственных культур, за исключением подсолнечника. Пробелы в организации технологического процесса, одним из которых стало отсутствие подготовленной с осени земли для проведения посевных работ в крупных сельхозпредприятиях ПЗ «Бурлинский» и ООО «АгроСтрой» стали дополнительной помехой в получении желаемого производственного результата. В итоге, объём валового сбора зерна в 2020 году стал самым низким за многолетний период в истории района и составил 8654 тонны (в 2019 году – 13791 </w:t>
      </w:r>
      <w:r w:rsidR="00CC0BDB">
        <w:rPr>
          <w:sz w:val="28"/>
          <w:szCs w:val="28"/>
        </w:rPr>
        <w:t xml:space="preserve">т), при средней урожайности 4,3 </w:t>
      </w:r>
      <w:r>
        <w:rPr>
          <w:sz w:val="28"/>
          <w:szCs w:val="28"/>
        </w:rPr>
        <w:t xml:space="preserve">ц с га (в 2019 г. – 5,5 ц с га). Такое положение дел создало определённую напряжённость в обеспечении крупных хозяйств семенным материалом и зернофуражом для животноводства. Достаточно скудной в прошлом году сложилась и кормовая база в животноводческих хозяйствах в части обеспечения их грубыми и сочными кормами. Порадовал наших крестьян неожиданно высокий для прошедшего года урожай и сбор подсолнечника, урожайность которого составила 6,0 ц с га (2,7 ц с га в прошлом году). А полученный высокий урожай зерновых культур в К(Ф)Х Дайрабаева М.М. стал веским аргументом того, что при строгом соблюдении всех фрагментов современной технологии возделывания зерновых культур, скрупулёзном и творческом подходе к проведению комплекса необходимых агротехнических мероприятий, можно гарантированно получить достаточно высокий урожай даже в сложных погодных условиях нашей степной зоны. Неустойчивая обстановка сложилась и в животноводческой отрасли. Продолжалось снижение поголовья коров с </w:t>
      </w:r>
      <w:r>
        <w:rPr>
          <w:sz w:val="28"/>
          <w:szCs w:val="28"/>
        </w:rPr>
        <w:lastRenderedPageBreak/>
        <w:t xml:space="preserve">2693 голов в 2019 году до 2084 голов в 2020 году, да и надой на 1 фуражную корову снизился с 2916 кг до 2504 кг. В связи с этим соответственно произошло и сокращение объёмов реализации молока сельхозтоваропроизводителями к уровню прошлого года на 392 тонны (с 47696,4 т до 42446,26 т), со 121,3 млн. рублей до 99,5 млн. рублей упала выручка от его реализации. Снижение продуктивности и недобор продукции достаточно серьёзно усугубили и без того непростую ситуацию в финансово-хозяйственной деятельности особенно крупных сельхозпредприятий. Практически не помогло возместить ущерб, нанесённый в аграрном секторе по причине атмосферной и почвенной засухи и постановление Правительства Алтайского края № 298 от 10.07.2020 года о введении на территории края режима чрезвычайной ситуации. Некоторой материальной поддержкой стало направление сельхозтоваропроизводителям района 115 млн. рублей из федерального и краевого бюджетов. Следует отметить, что в этих непростых, жёстких условиях руководство и трудовые коллективы сельхозпредприятий, работники К(Ф)Х делали всё возможное для сохранения уровня своего производства. Определённым подспорьем стало увеличение уровня оплаты труда по отрасли в районе на 113,2 % по сравнению с прошлых годом, которая составила в среднем 18290 рублей. Наряду с констатацией сложной обстановки и проблем в деятельности сельскохозяйственные предприятий района необходимо для объективности обратить внимание и на реально наметившиеся положительные тенденции в ряде направлений развития отрасли, которые наглядно показываю имеющиеся перспективы и уже сегодня могут стать фундаментом для укрепления сельскохозяйственного производства. Надо понимать, что время экстенсивного развития уже давно прошло и право на существование и развитие получит тот, кто будет пользоваться в работе современными технологиями, техникой и оборудованием. А это и другой уровень организации труда и вынужденное высвобождение работников. В связи с этим необходимо отметить существенный рост в 2020 году у сельхозтоваропроизводителей парка современной, энергонасыщенной техники и реальные действия по укреплению материально-технической базы, включая производственные помещения. За год в районе аграрная отрасль в районе пополнилась 50 единицами новой техники, в том числе приобретено 8 тракторов, 7 автомобилей, зерноуборочный комбайн, посевной комплекс, самоходный опрыскиватель, молоковоз и др. Расходы на эти цели составили 140,4 млн. рублей Беспрецедентно увеличилась впервые, за последние годы обработка паров и зяби общей площадью 25 </w:t>
      </w:r>
      <w:r>
        <w:rPr>
          <w:sz w:val="28"/>
          <w:szCs w:val="28"/>
        </w:rPr>
        <w:lastRenderedPageBreak/>
        <w:t xml:space="preserve">тыс. га, что является прекрасным заделом для формирования урожая в 2021 году. Большим событием стал ввод в эксплуатацию поливного участка ООО «АгроСтрой», площадью 315 га, который способен стать гарантом развития кормопроизводства и подготовки кормов для животноводства. При поддержке Правительства и Минсельхоза алтайского края оказана значительная финансовая и материальная поддержка краевому предприятию ПЗ «Бурлинский» на сумму более 100 млн. рублей, что позволило коренным образом провести техническое перевооружение хозяйства, провести капитальный ремонт с заменой оборудования животноводческих помещений, запустить в эксплуатацию неработающий ранее поливной участок. Администрация района в рамках имеющихся полномочий старается делать всё возможное для оказания всесторонней поддержки сельхозтоваропроизводителей, не ограничиваясь только методическим сопровождением, включая реальное содействие в продвижении решения важнейших для них производственных, финансовых и кадровых вопросов, участия в инвестиционных программах и проектов. На особом контроле находится и решение задач в вовлечении в оборот свободных земель сельхозназначения, площадь которых в районе составляет более 50 тыс. га. Земля должна работать на людей, на экономику района. Прилагаемые на протяжении ряда лет усилия в этом направлении дали положительный результат. Земля в Бурлинском районе наконец становится востребованной. В 2020 году вовлечено в сельскохозяйственный оборот более 10 тыс. га земель сельхозназначения в районе. Уже в текущем году идёт посредством аукциона продолжение оформления земель сельхозназначения на территориях Новоандреевского, Ореховского Михайловского и Бурлинского сельсоветов общей площадью более 15 тыс. га для возделывания сельскохозяйственных культур, в том числе рапса, подсолнечника, проса и др. Продолжаются подготовительные работы для аренды много лет пустовавших земель совхоза «Мирный» площадью 23 тыс. га крупным сельскохозяйственным предприятием ООО «Сибирский АНГУС» для развития животноводческой отрасли. Повышение уровня и объёма сельскохозяйственного производства в районе придадут дополнительный импульс для социально-экономического развития района в интересах его жителей. </w:t>
      </w:r>
    </w:p>
    <w:p w:rsidR="00160D4D" w:rsidRDefault="00160D4D">
      <w:pPr>
        <w:spacing w:line="276" w:lineRule="auto"/>
        <w:jc w:val="center"/>
        <w:divId w:val="1282959195"/>
      </w:pPr>
    </w:p>
    <w:p w:rsidR="00160D4D" w:rsidRDefault="00160D4D">
      <w:pPr>
        <w:spacing w:after="240" w:line="276" w:lineRule="auto"/>
        <w:jc w:val="center"/>
        <w:divId w:val="227962101"/>
      </w:pPr>
      <w:r>
        <w:rPr>
          <w:rStyle w:val="a4"/>
          <w:sz w:val="28"/>
          <w:szCs w:val="28"/>
        </w:rPr>
        <w:t xml:space="preserve">Реализация инвестиционных проектов на территории муниципального района </w:t>
      </w:r>
    </w:p>
    <w:p w:rsidR="00160D4D" w:rsidRDefault="00160D4D">
      <w:pPr>
        <w:pStyle w:val="a3"/>
        <w:spacing w:before="0" w:beforeAutospacing="0" w:after="0" w:afterAutospacing="0" w:line="276" w:lineRule="auto"/>
        <w:jc w:val="both"/>
        <w:divId w:val="1009255494"/>
        <w:rPr>
          <w:sz w:val="28"/>
          <w:szCs w:val="28"/>
        </w:rPr>
      </w:pPr>
      <w:r>
        <w:rPr>
          <w:sz w:val="28"/>
          <w:szCs w:val="28"/>
        </w:rPr>
        <w:lastRenderedPageBreak/>
        <w:t>Преимущественным условием привлечением инвестиций является адресная объёмная работа по подготовке и оформлению правоустанавливающих, проектных и сметных документов, сокращению сроков п</w:t>
      </w:r>
      <w:r w:rsidR="00CC0BDB">
        <w:rPr>
          <w:sz w:val="28"/>
          <w:szCs w:val="28"/>
        </w:rPr>
        <w:t>рохождения обязательных согласи</w:t>
      </w:r>
      <w:r>
        <w:rPr>
          <w:sz w:val="28"/>
          <w:szCs w:val="28"/>
        </w:rPr>
        <w:t xml:space="preserve">тельных процедур, изысканию собственных средств для финансирования текущих затрат и собственной доли. На территории района успешно реализуются 11 государственных и 20 муниципальных программ с общим объёмом финансирования более 180 млн. рублей. В рамках краевой целевой программы совместно с администрациями сельсоветов проведены работы по благоустройству мемориалов в память павшим в Великой Отечественной войне 1941-1945 гг. – на сумму 1238,4 тыс. рублей. Таким же образом были реализованы гранты в рамках проектов местных инициатив в центре (площадка в сквере) – на сумму 542,9 тыс. рублей, с софинансированием из бюджета сельсовета 154,7 тыс. рублей и устройство уличного освещения в селе Партизанское – на сумму 447,6 тыс. рублей, в том числе 48,0 тыс. рублей из бюджета сельсовета. Участие района в краевой программе технического перевооружения ЖКХ позволило своевременно и в полном объёме провести капитальный ремонт теплотрассы в селе Бурла: освоено 17,1 млн. рублей краевых финансовых средств, в том числе 171 тыс. рублей - собственных. Достаточно большой объём работы выполнен в дорожном хозяйстве района. Завершён капитальный ремонт моста в селе Притыка общей стоимостью 23,8 млн. рублей, из которых 14,8 млн. рублей (в том числе 187 тыс. рублей из местного бюджета) освоено в 2020 году В рамках федеральной целевой программы «Устойчивое развитие сельских территорий» обеспечены жильём 2 семьи на сумму 787,5 тыс. рублей. В то же время основным проблемным моментом, несколько ограничивающим этот созидательный процесс, является острый дефицит бюджетных средств для обеспечения подготовки проектно-сметной документации и обеспечения долевого участия в проектах и программах. Необходимо продолжить работу по улучшению состояния дорожной сети, созданию новых рабочих мест, росту и модернизации производства, развитию структуры учреждений социальной сферы, предметно заниматься благоустройством. К </w:t>
      </w:r>
      <w:r w:rsidR="00CC0BDB">
        <w:rPr>
          <w:sz w:val="28"/>
          <w:szCs w:val="28"/>
        </w:rPr>
        <w:t>сожалению,</w:t>
      </w:r>
      <w:r>
        <w:rPr>
          <w:sz w:val="28"/>
          <w:szCs w:val="28"/>
        </w:rPr>
        <w:t xml:space="preserve"> в районе пока не реализованы вопросы организации переработки продукции, рыбохозяйственной деятельности, медленно идёт процесс модернизации в сельском хозяйстве. А необходимые резервы для этого есть. </w:t>
      </w:r>
    </w:p>
    <w:p w:rsidR="00160D4D" w:rsidRDefault="00160D4D">
      <w:pPr>
        <w:spacing w:line="276" w:lineRule="auto"/>
        <w:jc w:val="center"/>
        <w:divId w:val="227962101"/>
      </w:pPr>
    </w:p>
    <w:p w:rsidR="00160D4D" w:rsidRDefault="00160D4D">
      <w:pPr>
        <w:spacing w:after="240" w:line="276" w:lineRule="auto"/>
        <w:jc w:val="center"/>
        <w:divId w:val="188225913"/>
      </w:pPr>
      <w:r>
        <w:rPr>
          <w:rStyle w:val="a4"/>
          <w:sz w:val="28"/>
          <w:szCs w:val="28"/>
        </w:rPr>
        <w:t xml:space="preserve">Состояние малого и среднего предпринимательства, меры государственной поддержки малого и среднего предпринимательства </w:t>
      </w:r>
    </w:p>
    <w:p w:rsidR="00160D4D" w:rsidRDefault="00160D4D">
      <w:pPr>
        <w:pStyle w:val="a3"/>
        <w:spacing w:before="0" w:beforeAutospacing="0" w:after="0" w:afterAutospacing="0" w:line="276" w:lineRule="auto"/>
        <w:jc w:val="both"/>
        <w:divId w:val="421028194"/>
        <w:rPr>
          <w:sz w:val="28"/>
          <w:szCs w:val="28"/>
        </w:rPr>
      </w:pPr>
      <w:r>
        <w:rPr>
          <w:sz w:val="28"/>
          <w:szCs w:val="28"/>
        </w:rPr>
        <w:lastRenderedPageBreak/>
        <w:t>Важнейшим фактором и перспективным направлением в улучшении социально-экономического развития района является укрепление малого бизнеса. В районе действует 121 единица (АППГ-119) субъектов среднего и малого предпринимательства, в т.ч., 14 юридических лиц и 110 индивидуальных предпринимателей. Работало 64 магазинов (65 – 2019 г.), 3 предприятия общественного питания, 1 универсальная ярмарка. В целях улучшения предпринимательского климата на территории района, расширения доступа субъектов предпринимательства к финансово-кредитным ресурсам, заключено Соглашение о взаимодействии по развитию муниципальной инфраструктуры поддержки малого и среднего предпринимательства с НО «Алтайский фонд развития малого и среднего предпринимательства». Утверждена и реализуется муниципальная программа «Развитие малого и среднего предпринимательства в Бурлинском районе на 2015-2020 годы» (утверждена новая программа на 2021-2025 годы), создан и осуществляет свою деятельность информационно-консультационный центр для поддержки предпринимательства (ИКЦ). В рамках его работы в 2020 году было оказано консультационных, информационных и образовательных услуг 1507 субъектам малого и среднего предпринимательства (АППГ- 409). Резкое увеличение количества консультационных услуг связано с тесным и непрерывным взаимодействием специалиста ИКЦ с бизнесом в период пандемии. Реализаци</w:t>
      </w:r>
      <w:r w:rsidR="00CC0BDB">
        <w:rPr>
          <w:sz w:val="28"/>
          <w:szCs w:val="28"/>
        </w:rPr>
        <w:t>я мероприятий муниципальной про</w:t>
      </w:r>
      <w:r>
        <w:rPr>
          <w:sz w:val="28"/>
          <w:szCs w:val="28"/>
        </w:rPr>
        <w:t>граммы по развитию малого и среднего предпринимательства способствовала созданию 95 рабочих мест и сохранению 470 действующих рабочих мест. Одним из главных инструментов для рос</w:t>
      </w:r>
      <w:r w:rsidR="00CC0BDB">
        <w:rPr>
          <w:sz w:val="28"/>
          <w:szCs w:val="28"/>
        </w:rPr>
        <w:t>та и стабилизации экономики рай</w:t>
      </w:r>
      <w:r>
        <w:rPr>
          <w:sz w:val="28"/>
          <w:szCs w:val="28"/>
        </w:rPr>
        <w:t xml:space="preserve">она, повышения благосостояния района, обеспечения эффективной деятельности социальной сферы является активное участие района в реализации краевых федеральных и муниципальных программ. Единственным проблемным моментом, несколько сдерживающим этот созидательный процесс, являются острый дефицит и ограниченность муниципальных финансовых средств для обеспечения долевого участия в проектах и программах. В тоже время, одним из значимых и эффективных инструментов в реализации социально-значимых местных проектов призвано стать инициативное бюджетирование, позволяющее с учётом мнения и финансовых возможностей местного населения определить и исполнить наиболее востребованный комплекс мероприятий на территории района, села, при конкретной государственной финансовой поддержке. Необходимо улучшение состояния дорожной сети, содействие созданию новых рабочих мест, росту производства, развитию сети </w:t>
      </w:r>
      <w:r>
        <w:rPr>
          <w:sz w:val="28"/>
          <w:szCs w:val="28"/>
        </w:rPr>
        <w:lastRenderedPageBreak/>
        <w:t>улучшения социальной сферы, заниматься благоустройством. До сих пор в районе не реализованы вопро</w:t>
      </w:r>
      <w:r w:rsidR="00CC0BDB">
        <w:rPr>
          <w:sz w:val="28"/>
          <w:szCs w:val="28"/>
        </w:rPr>
        <w:t>сы переработки продукции, не за</w:t>
      </w:r>
      <w:r>
        <w:rPr>
          <w:sz w:val="28"/>
          <w:szCs w:val="28"/>
        </w:rPr>
        <w:t xml:space="preserve">работал цех по первичной переработке мяса, нет убойного цеха, продолжается процедура конкурсного производства значимого для района предприятия «Бурлинский рыбхоз». А это огромный резерв для подпитки экономики района, и он далеко не единственный. </w:t>
      </w:r>
    </w:p>
    <w:p w:rsidR="00160D4D" w:rsidRDefault="00160D4D">
      <w:pPr>
        <w:spacing w:line="276" w:lineRule="auto"/>
        <w:jc w:val="center"/>
        <w:divId w:val="188225913"/>
      </w:pPr>
    </w:p>
    <w:p w:rsidR="00160D4D" w:rsidRDefault="00160D4D">
      <w:pPr>
        <w:spacing w:after="240" w:line="276" w:lineRule="auto"/>
        <w:jc w:val="center"/>
        <w:divId w:val="22445502"/>
      </w:pPr>
      <w:r>
        <w:rPr>
          <w:rStyle w:val="a4"/>
          <w:sz w:val="28"/>
          <w:szCs w:val="28"/>
        </w:rPr>
        <w:t xml:space="preserve">Ситуация на рынке труда </w:t>
      </w:r>
    </w:p>
    <w:p w:rsidR="00160D4D" w:rsidRDefault="00160D4D">
      <w:pPr>
        <w:pStyle w:val="a3"/>
        <w:spacing w:before="0" w:beforeAutospacing="0" w:after="0" w:afterAutospacing="0" w:line="276" w:lineRule="auto"/>
        <w:jc w:val="both"/>
        <w:divId w:val="1334599897"/>
        <w:rPr>
          <w:sz w:val="28"/>
          <w:szCs w:val="28"/>
        </w:rPr>
      </w:pPr>
      <w:r>
        <w:rPr>
          <w:sz w:val="28"/>
          <w:szCs w:val="28"/>
        </w:rPr>
        <w:t>В районе действует муниципальная программа «Улучшение условий и охраны труда в Бурлинском районе на 2015-2020 годы» (разработана новая программа на 2021-2025 годы). Было проведено 3 заседания районной межведомственной комиссии по охране труда, на которых были рассмотрены 7 вопросов. Специалистом отдела оказывается методи</w:t>
      </w:r>
      <w:r w:rsidR="00CC0BDB">
        <w:rPr>
          <w:sz w:val="28"/>
          <w:szCs w:val="28"/>
        </w:rPr>
        <w:t>ческая помощь, в том числе пред</w:t>
      </w:r>
      <w:r>
        <w:rPr>
          <w:sz w:val="28"/>
          <w:szCs w:val="28"/>
        </w:rPr>
        <w:t>приятиям сельского хозяйства, по разработке и подбору необходимых документов (инструкции, методическая литература и т.д.). 100% руководителей и специалистов по охране труда имеют действующие удостоверения по охране труда и пожарной безопасности. В период 2020 года случаев производственного травматизма не зарегистрировано. Касаясь вопросов социального партнерства можно отметить, что в районе действует Соглашение между работодателями, профсоюзами и исполнительными органами местного самоуправления Бурлинского района на 2020-2022 годы. В целом условия Соглашения выполняются, достигаются поставленные цели. Согласно индикативным показателям С</w:t>
      </w:r>
      <w:r w:rsidR="00CC0BDB">
        <w:rPr>
          <w:sz w:val="28"/>
          <w:szCs w:val="28"/>
        </w:rPr>
        <w:t>оглашения уровень официально за</w:t>
      </w:r>
      <w:r>
        <w:rPr>
          <w:sz w:val="28"/>
          <w:szCs w:val="28"/>
        </w:rPr>
        <w:t xml:space="preserve">регистрированной безработицы к трудоспособному населению на 31.12.2020 год не может превышать 4,7%. Этот показатель в районе на конец 2020 года составил 5,2%. В целях выполнения Указа Президента Российской Федерации от 21 июля 2020 года № 474 «О национальных целях развития Российской Федерации на период до 2030 года» утверждено Положение и состав межведомственной рабочей группы по повышению реальных доходов граждан, снижению уровня бедности в два раза на территории муниципального образования Бурлинский район Алтайского края. В целях выполнения индикативных показателей в районе необходимо было трудоустроить 89 инвалидов трудоспособного возраста. Количество фактов трудоустройства инвалидов на 31.12.2020 года составило 53 человека </w:t>
      </w:r>
    </w:p>
    <w:p w:rsidR="00160D4D" w:rsidRDefault="00160D4D">
      <w:pPr>
        <w:spacing w:line="276" w:lineRule="auto"/>
        <w:jc w:val="center"/>
        <w:divId w:val="22445502"/>
      </w:pPr>
    </w:p>
    <w:p w:rsidR="00160D4D" w:rsidRDefault="00160D4D">
      <w:pPr>
        <w:spacing w:after="240" w:line="276" w:lineRule="auto"/>
        <w:jc w:val="center"/>
        <w:divId w:val="480079316"/>
      </w:pPr>
      <w:r>
        <w:rPr>
          <w:rStyle w:val="a4"/>
          <w:sz w:val="28"/>
          <w:szCs w:val="28"/>
        </w:rPr>
        <w:t xml:space="preserve">Уровень жизни населения </w:t>
      </w:r>
    </w:p>
    <w:p w:rsidR="00160D4D" w:rsidRDefault="00160D4D">
      <w:pPr>
        <w:pStyle w:val="a3"/>
        <w:spacing w:before="0" w:beforeAutospacing="0" w:after="0" w:afterAutospacing="0" w:line="276" w:lineRule="auto"/>
        <w:jc w:val="both"/>
        <w:divId w:val="509295027"/>
        <w:rPr>
          <w:sz w:val="28"/>
          <w:szCs w:val="28"/>
        </w:rPr>
      </w:pPr>
      <w:r>
        <w:rPr>
          <w:sz w:val="28"/>
          <w:szCs w:val="28"/>
        </w:rPr>
        <w:lastRenderedPageBreak/>
        <w:t xml:space="preserve">За 2020 год общая сумма денежных доходов населения района увеличилась на 1 % к уровню прошлого года и составила 1183349,6 тыс.руб. Расходы населения сложились в сумме 1005093 тыс.рублей, увеличились к уровню 2019 года на 1,5 %. </w:t>
      </w:r>
    </w:p>
    <w:p w:rsidR="00160D4D" w:rsidRDefault="00160D4D">
      <w:pPr>
        <w:spacing w:line="276" w:lineRule="auto"/>
        <w:jc w:val="center"/>
        <w:divId w:val="480079316"/>
      </w:pPr>
    </w:p>
    <w:p w:rsidR="00160D4D" w:rsidRDefault="00160D4D">
      <w:pPr>
        <w:spacing w:after="240" w:line="276" w:lineRule="auto"/>
        <w:jc w:val="center"/>
        <w:divId w:val="1153718179"/>
      </w:pPr>
      <w:r>
        <w:rPr>
          <w:rStyle w:val="a4"/>
          <w:sz w:val="28"/>
          <w:szCs w:val="28"/>
        </w:rPr>
        <w:t xml:space="preserve">Состояние местных бюджетов </w:t>
      </w:r>
    </w:p>
    <w:p w:rsidR="00CC0BDB" w:rsidRDefault="00160D4D">
      <w:pPr>
        <w:pStyle w:val="a3"/>
        <w:spacing w:before="0" w:beforeAutospacing="0" w:after="0" w:afterAutospacing="0" w:line="276" w:lineRule="auto"/>
        <w:jc w:val="both"/>
        <w:divId w:val="419065809"/>
        <w:rPr>
          <w:sz w:val="28"/>
          <w:szCs w:val="28"/>
        </w:rPr>
      </w:pPr>
      <w:r>
        <w:rPr>
          <w:sz w:val="28"/>
          <w:szCs w:val="28"/>
        </w:rPr>
        <w:t xml:space="preserve">Основой для устойчивой деятельности и развития муниципального образования является уровень формирования и исполнения местного бюджета. Исходя из этого, главными задачами Администрации района в области бюджетной политики оставались: </w:t>
      </w:r>
    </w:p>
    <w:p w:rsidR="00CC0BDB" w:rsidRDefault="00160D4D">
      <w:pPr>
        <w:pStyle w:val="a3"/>
        <w:spacing w:before="0" w:beforeAutospacing="0" w:after="0" w:afterAutospacing="0" w:line="276" w:lineRule="auto"/>
        <w:jc w:val="both"/>
        <w:divId w:val="419065809"/>
        <w:rPr>
          <w:sz w:val="28"/>
          <w:szCs w:val="28"/>
        </w:rPr>
      </w:pPr>
      <w:r>
        <w:rPr>
          <w:sz w:val="28"/>
          <w:szCs w:val="28"/>
        </w:rPr>
        <w:t xml:space="preserve">- обеспечение наполнения доходной базы местного бюджета в соответствии с утверждёнными параметрами, необходимой для успешного исполнения многочисленных полномочий по решению вопросов местного значения; </w:t>
      </w:r>
    </w:p>
    <w:p w:rsidR="00CC0BDB" w:rsidRDefault="00160D4D">
      <w:pPr>
        <w:pStyle w:val="a3"/>
        <w:spacing w:before="0" w:beforeAutospacing="0" w:after="0" w:afterAutospacing="0" w:line="276" w:lineRule="auto"/>
        <w:jc w:val="both"/>
        <w:divId w:val="419065809"/>
        <w:rPr>
          <w:sz w:val="28"/>
          <w:szCs w:val="28"/>
        </w:rPr>
      </w:pPr>
      <w:r>
        <w:rPr>
          <w:sz w:val="28"/>
          <w:szCs w:val="28"/>
        </w:rPr>
        <w:t xml:space="preserve">- рациональное и эффективное использование бюджетных средств, включая привлечение краевых и федеральных инвестиций, позволяющее в то же время обеспечить финансирование расходных обязательств в полном объёме; </w:t>
      </w:r>
    </w:p>
    <w:p w:rsidR="00CC0BDB" w:rsidRDefault="00160D4D">
      <w:pPr>
        <w:pStyle w:val="a3"/>
        <w:spacing w:before="0" w:beforeAutospacing="0" w:after="0" w:afterAutospacing="0" w:line="276" w:lineRule="auto"/>
        <w:jc w:val="both"/>
        <w:divId w:val="419065809"/>
        <w:rPr>
          <w:sz w:val="28"/>
          <w:szCs w:val="28"/>
        </w:rPr>
      </w:pPr>
      <w:r>
        <w:rPr>
          <w:sz w:val="28"/>
          <w:szCs w:val="28"/>
        </w:rPr>
        <w:t xml:space="preserve">- погашение в полном объёме кредиторской задолженности муниципалитетов. </w:t>
      </w:r>
    </w:p>
    <w:p w:rsidR="00CC0BDB" w:rsidRDefault="00160D4D" w:rsidP="00CC0BDB">
      <w:pPr>
        <w:pStyle w:val="a3"/>
        <w:spacing w:before="0" w:beforeAutospacing="0" w:after="0" w:afterAutospacing="0" w:line="276" w:lineRule="auto"/>
        <w:jc w:val="both"/>
        <w:divId w:val="419065809"/>
        <w:rPr>
          <w:sz w:val="28"/>
          <w:szCs w:val="28"/>
        </w:rPr>
      </w:pPr>
      <w:r>
        <w:rPr>
          <w:sz w:val="28"/>
          <w:szCs w:val="28"/>
        </w:rPr>
        <w:t>Принятый бюджет района 2020 года был сформирован со значительным дефицитом средств, что позволяло у</w:t>
      </w:r>
      <w:r w:rsidR="00CC0BDB">
        <w:rPr>
          <w:sz w:val="28"/>
          <w:szCs w:val="28"/>
        </w:rPr>
        <w:t>довлетворить потребности по рас</w:t>
      </w:r>
      <w:r>
        <w:rPr>
          <w:sz w:val="28"/>
          <w:szCs w:val="28"/>
        </w:rPr>
        <w:t xml:space="preserve">ходам лишь на 76 %. Однако, несмотря на имеющиеся объективные трудности 2020 года Администрации района удалось обеспечить исполнение не только планируемых параметров консолидированного бюджета, но и получить дополнительные доходы в сумме 4223,1 тыс. рублей, добившись при этом положительной динамики. Впервые за последние 15 лет общая сумма доходов консолидированного бюджета превысила 300 млн. рублей и составила 310563,8 тыс. рублей. При этом план по сбору собственных доходов был выполнен на 105,8 %, а их сумма выросла на 10107,8 тыс. рублей по сравнению с предыдущим годом или на 15,1 %. По этому показателю район разместился на 11 месте из 70 муниципальных образований Алтайского края и на 20 месте по обеспечению роста собственных доходов к прошлому году. В консолидированный бюджет района было получено 233412,2 тыс. рублей безвозмездных поступлений из краевого бюджета, том числе 56888,8 тыс. рублей дотаций, что на 17163,8 тыс. рублей больше, чем в предыдущем году. В результате в общем объёме доходов консолидированного бюджета </w:t>
      </w:r>
      <w:r>
        <w:rPr>
          <w:sz w:val="28"/>
          <w:szCs w:val="28"/>
        </w:rPr>
        <w:lastRenderedPageBreak/>
        <w:t>доля безвозмездных поступлений из консолидированного бюджета составила в отчётном году 75 %, доля собственных доходов – 25 % (НА ГРАФИКЕ). За последние 5 лет объём собственных доходов в консолидированный бюджет района вырос в 1,58 раза, если в 2016 году их объём составлял 48815,3 тыс. рублей, то в 2020 году о</w:t>
      </w:r>
      <w:r w:rsidR="00CC0BDB">
        <w:rPr>
          <w:sz w:val="28"/>
          <w:szCs w:val="28"/>
        </w:rPr>
        <w:t>н вырос до 77151,6 тыс. рублей.</w:t>
      </w:r>
    </w:p>
    <w:p w:rsidR="00CC0BDB" w:rsidRDefault="00160D4D" w:rsidP="00CC0BDB">
      <w:pPr>
        <w:pStyle w:val="a3"/>
        <w:spacing w:before="0" w:beforeAutospacing="0" w:after="0" w:afterAutospacing="0" w:line="276" w:lineRule="auto"/>
        <w:jc w:val="both"/>
        <w:divId w:val="419065809"/>
        <w:rPr>
          <w:sz w:val="28"/>
          <w:szCs w:val="28"/>
        </w:rPr>
      </w:pPr>
      <w:r>
        <w:rPr>
          <w:sz w:val="28"/>
          <w:szCs w:val="28"/>
        </w:rPr>
        <w:t xml:space="preserve"> Расходная часть консолидированного бюджета района исполнялась в соответствии с утверждёнными параметрами и корректировками при поступлении дополнительных доходов. Привлечение дополнительных средств, финансовая поддержка Правительства Алтайского края и рациональное использование финансовых ресурсов позволили не только справиться с исполнением необходимых расходных обязательств, но и до минимума сократить имеющуюся значительную кредиторскую задолженность муниципальных образований района и сельсоветов, и в первую очередь – за потреблённые энергоресурсы. Если на 01.01.2020 года кредиторская задолженность муниципального района и сельсоветов составляла 41470 тыс. рублей, то по состоянию на 01.01.2021 года её величина сократилась до 32246 тыс. рублей, из которой на 23411 тыс. рублей (долги за резервный уголь) заключено соглашение о рассрочке платежей, а 2712,0 тыс. рублей долга за потреблённый уголь перед поставщиком угля погашен в первых числах января 2021 года. В результате фактическая кредиторская задолженность составила 5590 тыс. рублей (долг ОАО «Кузбассразрезуголь»). Есть реальные перспективы закрыть и эту задолженность. Открыты ранее заблокированные расчётные счета в сельсоветах и Администрации района. Удалось в прошедшем году и на 6188 тыс. рублей снизить недоимку по налогам и сборам в районе, величина которой составляла 13841 тыс. рублей. Расходы консолидированного бюджета были исполнены в полном объёме на сумму 302714,1 тыс. рублей, в том числе расходы бюджета муниципального района – на сумму 295239,9 тыс. рублей. Районный бюджет в 2020 году традиционно был социально ориентированным. Социально-значимые расходы составили 201768 тыс. рублей или 66,8 %, в том числе 55,4 % средств направлены на образование, 9,4 % - на культуру, 1,9 % - социальную политику, 0,1 % - на развитие спорта и физической культуры. В рамках исполнения майских Указов Президента РФ от 2017 года в части повышения уровня заработной платы отдельным категориям работников муниципальных учреждений за 2020</w:t>
      </w:r>
      <w:r w:rsidR="00CC0BDB">
        <w:rPr>
          <w:sz w:val="28"/>
          <w:szCs w:val="28"/>
        </w:rPr>
        <w:t xml:space="preserve"> год целевые показатели в основ</w:t>
      </w:r>
      <w:r>
        <w:rPr>
          <w:sz w:val="28"/>
          <w:szCs w:val="28"/>
        </w:rPr>
        <w:t xml:space="preserve">ном достигнуты. Размер средней ежемесячной заработной платы за 2020 год в системе образования составил: </w:t>
      </w:r>
    </w:p>
    <w:p w:rsidR="00CC0BDB" w:rsidRDefault="00160D4D" w:rsidP="00CC0BDB">
      <w:pPr>
        <w:pStyle w:val="a3"/>
        <w:spacing w:before="0" w:beforeAutospacing="0" w:after="0" w:afterAutospacing="0" w:line="276" w:lineRule="auto"/>
        <w:jc w:val="both"/>
        <w:divId w:val="419065809"/>
        <w:rPr>
          <w:sz w:val="28"/>
          <w:szCs w:val="28"/>
        </w:rPr>
      </w:pPr>
      <w:r>
        <w:rPr>
          <w:sz w:val="28"/>
          <w:szCs w:val="28"/>
        </w:rPr>
        <w:lastRenderedPageBreak/>
        <w:t xml:space="preserve">- в дошкольном образовании – 24090 рублей; </w:t>
      </w:r>
    </w:p>
    <w:p w:rsidR="00CC0BDB" w:rsidRDefault="00160D4D" w:rsidP="00CC0BDB">
      <w:pPr>
        <w:pStyle w:val="a3"/>
        <w:spacing w:before="0" w:beforeAutospacing="0" w:after="0" w:afterAutospacing="0" w:line="276" w:lineRule="auto"/>
        <w:jc w:val="both"/>
        <w:divId w:val="419065809"/>
        <w:rPr>
          <w:sz w:val="28"/>
          <w:szCs w:val="28"/>
        </w:rPr>
      </w:pPr>
      <w:r>
        <w:rPr>
          <w:sz w:val="28"/>
          <w:szCs w:val="28"/>
        </w:rPr>
        <w:t xml:space="preserve">- в школьном образовании – 25591 рубль; </w:t>
      </w:r>
    </w:p>
    <w:p w:rsidR="00CC0BDB" w:rsidRDefault="00160D4D" w:rsidP="00CC0BDB">
      <w:pPr>
        <w:pStyle w:val="a3"/>
        <w:spacing w:before="0" w:beforeAutospacing="0" w:after="0" w:afterAutospacing="0" w:line="276" w:lineRule="auto"/>
        <w:jc w:val="both"/>
        <w:divId w:val="419065809"/>
        <w:rPr>
          <w:sz w:val="28"/>
          <w:szCs w:val="28"/>
        </w:rPr>
      </w:pPr>
      <w:r>
        <w:rPr>
          <w:sz w:val="28"/>
          <w:szCs w:val="28"/>
        </w:rPr>
        <w:t xml:space="preserve">- в дополнительном образовании – 19125 рублей. </w:t>
      </w:r>
    </w:p>
    <w:p w:rsidR="00160D4D" w:rsidRDefault="00160D4D" w:rsidP="00CC0BDB">
      <w:pPr>
        <w:pStyle w:val="a3"/>
        <w:spacing w:before="0" w:beforeAutospacing="0" w:after="0" w:afterAutospacing="0" w:line="276" w:lineRule="auto"/>
        <w:jc w:val="both"/>
        <w:divId w:val="419065809"/>
        <w:rPr>
          <w:sz w:val="28"/>
          <w:szCs w:val="28"/>
        </w:rPr>
      </w:pPr>
      <w:r>
        <w:rPr>
          <w:sz w:val="28"/>
          <w:szCs w:val="28"/>
        </w:rPr>
        <w:t>В сфере культуры: - МФКЦ – 17074 рубля; - ДШИ – 27109 рублей. Выросли и расходы на оплату труда работников бюджетной сферы в целом, объём которых составил 171504,6 тыс. рублей или 56,7 % от общего объёма расходов консолидированного бюджета района. По сравнению с прошлым отчётным периодом фонд оплаты труда в районе увеличился на 9985 тыс. рублей или на 5,8 %. На социальные выплаты жителям района (пенсии, пособия, компенсации, субсидии на приобретение жилья) нап</w:t>
      </w:r>
      <w:r w:rsidR="00CC0BDB">
        <w:rPr>
          <w:sz w:val="28"/>
          <w:szCs w:val="28"/>
        </w:rPr>
        <w:t>равлено 5785,9 млн. рублей. Рас</w:t>
      </w:r>
      <w:r>
        <w:rPr>
          <w:sz w:val="28"/>
          <w:szCs w:val="28"/>
        </w:rPr>
        <w:t xml:space="preserve">ходы по проведению выборов депутатов всех уровней составили 138,7 тыс. рублей. Администрацией района в 2021 году будет продолжена целенаправленная работа по дальнейшему росту темпов поступления собственных доходов путём эффективного использования имеющихся земельных ресурсов и муниципального имущества, привлечения дополнительных средств посредством участия в краевых и федеральных программах, оптимизации нерациональных расходов. </w:t>
      </w:r>
    </w:p>
    <w:p w:rsidR="00160D4D" w:rsidRDefault="00160D4D">
      <w:pPr>
        <w:spacing w:line="276" w:lineRule="auto"/>
        <w:jc w:val="center"/>
        <w:divId w:val="1153718179"/>
      </w:pPr>
    </w:p>
    <w:p w:rsidR="00160D4D" w:rsidRDefault="00160D4D">
      <w:pPr>
        <w:spacing w:after="240" w:line="276" w:lineRule="auto"/>
        <w:jc w:val="center"/>
        <w:divId w:val="1811168251"/>
      </w:pPr>
      <w:r>
        <w:rPr>
          <w:rStyle w:val="a4"/>
          <w:sz w:val="28"/>
          <w:szCs w:val="28"/>
        </w:rPr>
        <w:t xml:space="preserve">Жилищно-коммунальное хозяйство </w:t>
      </w:r>
    </w:p>
    <w:p w:rsidR="00CC0BDB" w:rsidRDefault="00160D4D">
      <w:pPr>
        <w:pStyle w:val="a3"/>
        <w:spacing w:before="0" w:beforeAutospacing="0" w:after="0" w:afterAutospacing="0" w:line="276" w:lineRule="auto"/>
        <w:jc w:val="both"/>
        <w:divId w:val="788813429"/>
        <w:rPr>
          <w:sz w:val="28"/>
          <w:szCs w:val="28"/>
        </w:rPr>
      </w:pPr>
      <w:r>
        <w:rPr>
          <w:sz w:val="28"/>
          <w:szCs w:val="28"/>
        </w:rPr>
        <w:t xml:space="preserve">Администрация района в условия дефицита собственных средств старалась максимально использовать имеющиеся возможности для привлечения на эти цели краевых и федеральных инвестиций с учётом минимальной доли софинансирования из местного бюджета. Организационным центром этой важной созидательной и ответственной работы являлся отдел архитектуры и градостроительства Администрации района, благодаря энергичной деятельности которого было обеспеченно квалифицированное и трудоёмкое сопровождение </w:t>
      </w:r>
      <w:r w:rsidR="00CC0BDB">
        <w:rPr>
          <w:sz w:val="28"/>
          <w:szCs w:val="28"/>
        </w:rPr>
        <w:t>проектно-сметных</w:t>
      </w:r>
      <w:r>
        <w:rPr>
          <w:sz w:val="28"/>
          <w:szCs w:val="28"/>
        </w:rPr>
        <w:t xml:space="preserve"> работ, координация и контроль исполнения строительно-монтажных работ, осуществляемых подрядными организациями в соответствии с муниципальными контрактами. Главными ориентирами в этой деятельности служили: повышение эффективности и надёжности функционирования объектов жилищно-коммунального хозяйства, социальной сферы, благоустройство, создание комфортных условий для проживания наших граждан. Участие района в краевой программе технического перевооружения ЖКХ позволило своевременно и в полном объёме провести капитальный ремонт теплотрассы в селе Бурла на участках обеспечивающих теплом важнейшие социальные объекты: </w:t>
      </w:r>
      <w:r>
        <w:rPr>
          <w:sz w:val="28"/>
          <w:szCs w:val="28"/>
        </w:rPr>
        <w:lastRenderedPageBreak/>
        <w:t>здания средней школы, детсада, автогаражей и комплекса стационара центральной районной больницы. Заодно обновлена на этих участках и водопроводная сеть. В результате освоено 17,1 млн. рублей краевых финансовых средств, в том числе 171 тыс. рублей - собственных. Достаточно большой объём работы выполнен в дорожном хозяйстве района. Завершён капитальный ремонт моста в селе Притыка общей стоимостью 23,8 млн. рублей, из которых 14,8 млн. рублей ( в том числе 187 тыс. рублей из местного бюджета) освоено в 2020 году. В рамках федеральной программы построена дорога (подъезд) к животноводческому комплексу ООО «Лесное» в селе Лесное протяжённостью 0,96 км стоимостью 95 млн. рублей. Протяжённость межрегиональных дорог на территории района, которые обслуживает Бурлинский участок Завьяловского ДРСУ составляет 250 км. В течение года было направлено на их содержание и ремонт 50,3 млн. рублей, в том числе на ремонт участка автодороги «Бурла – Подсосново», протяжённостью 6,8 км – 17,1 млн. рублей. Начат масштабный ремонт покрытия дорожного полотна от села Бурлы до границы с Новосибирской областью, в рамках которого освоено 235,5 млн. рублей краевых финансовых средств. Ремонтные работы на участках межрегиональных дорог будут продолжены и в 2021 году. Полномочия по содержанию 208,1 км муниципальных дорог исполняли Администрация района и все администрации сельсоветов, за исключением Ореховского сельсовета. В 2020 году на содержание автодорог было направлено 3,23 млн. рублей средств</w:t>
      </w:r>
      <w:r w:rsidR="00CC0BDB">
        <w:rPr>
          <w:sz w:val="28"/>
          <w:szCs w:val="28"/>
        </w:rPr>
        <w:t xml:space="preserve"> дорожного фонда, что далеко не</w:t>
      </w:r>
      <w:r>
        <w:rPr>
          <w:sz w:val="28"/>
          <w:szCs w:val="28"/>
        </w:rPr>
        <w:t>достаточно с учётом многоснежного периода. В районном центре восстановлено щебёночное покрытие участка дороги и оборудован тротуар по ул. Ленина на сумму 1,1 млн. рублей. Несомненно, для успешного решения вопросов содержания автодорог в населённых пунктах, в том числе и в зимний период, муниципальным властям необходимо сосредоточение усилий всех хозяйствующий субъектов, располагающих спецтехникой, и кроме того, приобретение 1-2 единиц спецтракторов для муниципальных нужд. Будет продолжен в этом году капитальный ремонт тепловых сетей и в районном центре – стоимостью 18 млн. рублей, оборудовано водозаборное сооружение со скважиной в селе Михайловка на 16 млн. рублей и детская площадка в селе Бурла на 3,5 млн. рублей. Продолжается работа по включению в программу ремонтов котельной в с. Бурла, спортивного зала школы в с. Михайловка, здание школы в с. Новосельское и др. Будет начата в т</w:t>
      </w:r>
      <w:r w:rsidR="00CC0BDB">
        <w:rPr>
          <w:sz w:val="28"/>
          <w:szCs w:val="28"/>
        </w:rPr>
        <w:t>екущем году подготовка проектно-сметной</w:t>
      </w:r>
      <w:r>
        <w:rPr>
          <w:sz w:val="28"/>
          <w:szCs w:val="28"/>
        </w:rPr>
        <w:t xml:space="preserve"> документации по строительству и капитальному ремонту в детсаде «Одуванчик» в райцентре. В рамках федеральной </w:t>
      </w:r>
      <w:r>
        <w:rPr>
          <w:sz w:val="28"/>
          <w:szCs w:val="28"/>
        </w:rPr>
        <w:lastRenderedPageBreak/>
        <w:t>целевой программы «Устойчивое развитие сельских территорий» обеспечены жильём 2 семьи на сумму 787,5 тыс. рублей. За счёт собственных средств отремонтирована и оборудована муниципальная квартира для проживания молод</w:t>
      </w:r>
      <w:r w:rsidR="00CC0BDB">
        <w:rPr>
          <w:sz w:val="28"/>
          <w:szCs w:val="28"/>
        </w:rPr>
        <w:t>ых специалистов. Начинается под</w:t>
      </w:r>
      <w:r>
        <w:rPr>
          <w:sz w:val="28"/>
          <w:szCs w:val="28"/>
        </w:rPr>
        <w:t>готовка к оборудованию второй служебной квартиры. Благодаря настойчивой и последовательной работе Администрации района и ряда сельских поселений по поддержке и модернизации в сфере жилищно-коммунального хозяйства в последние годы удалось достигнуть вполне определённых положительных результатов в организации устойчивого тепло- и водоснабжения потребителей района. Не стал исключением и 2020 год, их всех источников на подготовку к работе в зимних условиях было направлено более 20 млн. рублей. При финансовой поддержке Администрации района базовое теплоснабжающее предприятие МУП «Бурлинские тепловые сети», удалось не только своевременно и в полном объёме подготовить тепловое хозяйство к прохождению отопительного сезона, но и выступить субподрядчиком при проведении масштабных работ по капитальному ремонту теплотрассы от котельных центральной районной больницы и Бурлинской средней школы. При этом заменено 1026 метров ветхой теплотрассы, оборудованы тепловые камеры для перспективного подключения 4-х многоквартирных домов в с. Бурла по ул. Ленина к центральному отоплению. Для замены котлового оборудования и приобретения аварийного запаса необходимых зимой материалов и оборудования были привлечены краевые финансовые средства в виде субсидии в объёме 1980 тыс. рублей, благодаря чему были приобретены и смонтированы в с. Михайловка и Бурле 3 котла КВР-0,8, а также, четыре дымососа, 50 шт колосников, 4 сетевых и 5 подпиточных насосов. Оперативно были решены вопросы по приобретению и установке 2-х минимодульных котельных за счёт собственных средств для отопления многоквартирного дома в с. Партизанское (направлено 307 тыс. рублей) и СДК в селе Притыка (направлено 200 тыс. рублей). В полном объёме к прохождению отопительного сезона были подготовлены все без исключения объекты – абоненты бюджетной сферы, для чего направлено более 550 тыс. рублей. Много усилий пришлось приложить для того, чтобы преодолеть изрядно повышенные требования инспекции Ростехнадзора и получить акт готовности муниципального образования Бурлинский район к прохождению отопительного сезона. В рамках этой объёмной работы были устранены 60 из 65 замечаний инспектора Ростехнадзора, для чего было направлено более 1 млн. рублей, в том числе, приобретён автономный источник энергоснабжения – дизель-</w:t>
      </w:r>
      <w:r>
        <w:rPr>
          <w:sz w:val="28"/>
          <w:szCs w:val="28"/>
        </w:rPr>
        <w:lastRenderedPageBreak/>
        <w:t xml:space="preserve">генератор мощностью 30 кВт. Большим подспорьем в финансово-хозяйственной деятельности теплоснабжающего предприятия района стала организация работы ведомственного железнодорожного угольного тупика, обеспечившего приём и переработку всего объёма контрактного угля, реализацию угля населению, что способствовало привлечению дополнительных финансовых средств для поддержки экономики муниципального предприятия. Населению реализовано 1185 тонн угля. Своевременно заключённый контракт после проведённого аукциона с поставщиком ООО «Алтайская топливная компания» в количестве 4304 тонны на сумму 12,9 млн. рублей позволил обеспечить ритмичные поставки угля в район и стабильную работы системы теплоснабжения. Благополучному прохождению отопительного сезона способствовала и масштабная работа по погашению объёмной кредиторской задолженности муниципальных организаций за потреблённые энергоресурсы; которая по состоянию на 01.01.2020 года составляла 40,3 млн. рублей, а на 01.01.2021 года осталась в сумме 29,5 млн. рублей, из которых 23,4 млн. рублей – долги за резервный уголь, оплата за который оформлена в рассрочку и своевременно производится. В рамках исполнения полномочий по водоснабжению Администрацией района осуществляется конкретная организаторская работа в части оказания финансовой и материальной поддержки сельсоветов, модернизации и содержанию проблемного водопроводного хозяйства. В прошедшем году на текущий ремонт и эксплуатацию сельсоветам в рамках переданных полномочий направлено 80 тыс. рублей. Помимо этого, в связи с неотложной необходимостью проведены мероприятия по текущему и капитальному ремонту систем водоснабжения на сумму 761,3 тыс. рублей: - ремонт водозаборного сооружения в с. Лесное (120,3 тыс. рублей); - устранение сложных аварий на участках водопровода в с. Михайловка (58,5 тыс. рублей); - ремонт водозаборных сооружений в с. Орехово и Чернавка (247 тыс. рублей); - ремонт участка (200 м) водопроводной сети в с. Новопесчаное (263,5 тыс. рублей); - приобретены погружные насосы в с. Цветополь, а так же для аварийного запаса (72,0 тыс. рублей). В текущем году будет продолжена работа по коренному улучшению состояния водопроводного хозяйства в ряде сёл района, в том числе: </w:t>
      </w:r>
    </w:p>
    <w:p w:rsidR="00CC0BDB" w:rsidRDefault="00160D4D">
      <w:pPr>
        <w:pStyle w:val="a3"/>
        <w:spacing w:before="0" w:beforeAutospacing="0" w:after="0" w:afterAutospacing="0" w:line="276" w:lineRule="auto"/>
        <w:jc w:val="both"/>
        <w:divId w:val="788813429"/>
        <w:rPr>
          <w:sz w:val="28"/>
          <w:szCs w:val="28"/>
        </w:rPr>
      </w:pPr>
      <w:r>
        <w:rPr>
          <w:sz w:val="28"/>
          <w:szCs w:val="28"/>
        </w:rPr>
        <w:t>- бурение скважины с устройством водозаборного сооружения в с. Михайловка – 16,4 млн. рублей;</w:t>
      </w:r>
    </w:p>
    <w:p w:rsidR="00CC0BDB" w:rsidRDefault="00160D4D">
      <w:pPr>
        <w:pStyle w:val="a3"/>
        <w:spacing w:before="0" w:beforeAutospacing="0" w:after="0" w:afterAutospacing="0" w:line="276" w:lineRule="auto"/>
        <w:jc w:val="both"/>
        <w:divId w:val="788813429"/>
        <w:rPr>
          <w:sz w:val="28"/>
          <w:szCs w:val="28"/>
        </w:rPr>
      </w:pPr>
      <w:r>
        <w:rPr>
          <w:sz w:val="28"/>
          <w:szCs w:val="28"/>
        </w:rPr>
        <w:t xml:space="preserve"> - подготовка сметной документации для ремонта водозаборного сооружения в с. Новопесчаное; </w:t>
      </w:r>
    </w:p>
    <w:p w:rsidR="00CC0BDB" w:rsidRDefault="00160D4D">
      <w:pPr>
        <w:pStyle w:val="a3"/>
        <w:spacing w:before="0" w:beforeAutospacing="0" w:after="0" w:afterAutospacing="0" w:line="276" w:lineRule="auto"/>
        <w:jc w:val="both"/>
        <w:divId w:val="788813429"/>
        <w:rPr>
          <w:sz w:val="28"/>
          <w:szCs w:val="28"/>
        </w:rPr>
      </w:pPr>
      <w:r>
        <w:rPr>
          <w:sz w:val="28"/>
          <w:szCs w:val="28"/>
        </w:rPr>
        <w:t xml:space="preserve">- ремонт участков водопроводов в ряде населённых пунктов; </w:t>
      </w:r>
    </w:p>
    <w:p w:rsidR="00CC0BDB" w:rsidRDefault="00160D4D">
      <w:pPr>
        <w:pStyle w:val="a3"/>
        <w:spacing w:before="0" w:beforeAutospacing="0" w:after="0" w:afterAutospacing="0" w:line="276" w:lineRule="auto"/>
        <w:jc w:val="both"/>
        <w:divId w:val="788813429"/>
        <w:rPr>
          <w:sz w:val="28"/>
          <w:szCs w:val="28"/>
        </w:rPr>
      </w:pPr>
      <w:r>
        <w:rPr>
          <w:sz w:val="28"/>
          <w:szCs w:val="28"/>
        </w:rPr>
        <w:lastRenderedPageBreak/>
        <w:t>- оформление правоустанавливающей документации и определение хозяйствующих субъектов для эксплуатации водопроводов и др.</w:t>
      </w:r>
    </w:p>
    <w:p w:rsidR="00160D4D" w:rsidRDefault="00160D4D">
      <w:pPr>
        <w:pStyle w:val="a3"/>
        <w:spacing w:before="0" w:beforeAutospacing="0" w:after="0" w:afterAutospacing="0" w:line="276" w:lineRule="auto"/>
        <w:jc w:val="both"/>
        <w:divId w:val="788813429"/>
        <w:rPr>
          <w:sz w:val="28"/>
          <w:szCs w:val="28"/>
        </w:rPr>
      </w:pPr>
      <w:r>
        <w:rPr>
          <w:sz w:val="28"/>
          <w:szCs w:val="28"/>
        </w:rPr>
        <w:t xml:space="preserve"> Надо понимать, что достичь положительного результата по упорядочению организации устойчивой деятельности потенциально убыточной отрасли водоснабжения в сёлах района, за исключением райцентра, возможно только при совместном, заинтересованном сотрудничестве муниципальных образований района и сельсоветов, ответственного отношения сельской власти к решению важнейших для людей проблем, независимо от ведомственной принадлежности. Много вопросов у нашего населения вызывают проблемы внедрения на территориях сельских поселений далёкой от совершенства системы сбора твёрдых коммунальных отходов. Ситуация усугубляется отсутствием финансовых средств в муниципалитетах для обустройства контейнерных площадок, сложности при соблюдении жёстких требований по их установке, нежелание регионального оператора учитывать мнение населения о порядке сбора мусора. К сожалению и неурегулированность ряда принципиальных вопросов, касающихся этой тематике на уровне субъекта федерации, не позволяет продуктивно решать возникшие проблемы. В тоже время, сдвигать с мёртвой точки эту проблему необходимо, тем более, что краевыми властями в 2020 году направлена очередная сумма средств для приобретения мусорных контейнеров. </w:t>
      </w:r>
    </w:p>
    <w:p w:rsidR="00160D4D" w:rsidRDefault="00160D4D">
      <w:pPr>
        <w:spacing w:line="276" w:lineRule="auto"/>
        <w:jc w:val="center"/>
        <w:divId w:val="1811168251"/>
      </w:pPr>
    </w:p>
    <w:p w:rsidR="00160D4D" w:rsidRDefault="00160D4D">
      <w:pPr>
        <w:spacing w:after="240" w:line="276" w:lineRule="auto"/>
        <w:jc w:val="center"/>
        <w:divId w:val="297803595"/>
      </w:pPr>
      <w:r>
        <w:rPr>
          <w:rStyle w:val="a4"/>
          <w:sz w:val="28"/>
          <w:szCs w:val="28"/>
        </w:rPr>
        <w:t xml:space="preserve">Социальная сфера </w:t>
      </w:r>
    </w:p>
    <w:p w:rsidR="00160D4D" w:rsidRDefault="00160D4D">
      <w:pPr>
        <w:pStyle w:val="a3"/>
        <w:spacing w:before="0" w:beforeAutospacing="0" w:after="0" w:afterAutospacing="0" w:line="276" w:lineRule="auto"/>
        <w:jc w:val="both"/>
        <w:divId w:val="446389585"/>
        <w:rPr>
          <w:sz w:val="28"/>
          <w:szCs w:val="28"/>
        </w:rPr>
      </w:pPr>
      <w:r>
        <w:rPr>
          <w:sz w:val="28"/>
          <w:szCs w:val="28"/>
        </w:rPr>
        <w:t xml:space="preserve">Администрация района, ее структурные подразделения в отчетном периоде уделяли особое внимание формированию и реализации в районе взвешенной и эффективной социальной политики, на основе необходимости обеспечения населения нашего района качественными, современными услугами в образовательной и культурной сферах, здравоохранении и молодежной среде в рамках исполнения муниципальных полномочий. На эффективность проводимой в этом направлении организаторской работы безусловно повлияли вынужденные ограничения, связанные с пандемией коронавируса. В то же время, именно социальная политика, занимающая приоритетное место в сфере деятельности органов муниципальной власти и расходах консолидированного бюджета требует постоянного совершенствования и внимания. Функционирование и развитие системы образования Бурлинского района, её успехи напрямую зависят от ресурсного обеспечения, важнейшей составляющей которого являются кадры. Всего в </w:t>
      </w:r>
      <w:r>
        <w:rPr>
          <w:sz w:val="28"/>
          <w:szCs w:val="28"/>
        </w:rPr>
        <w:lastRenderedPageBreak/>
        <w:t>районе 186 педагогических работника. Руководителей (в том числе заместителей) – 13. Педагоги в возрасте до 35 лет составляют 22.1 %. Педагогические работники в возрасте старше 60 лет составляют 9.1% В районе ведется работа по развитию кадрового потенциала. В 2020 г учебном году прошли аттестацию 37 педагогических работников. Из них на первую квалификационную категорию аттестовано 15 человек, на высшую квалификационную категорию – 22 чел. Одной из основных задач аттестации является повышение эффективности и качества деятельности учителей. Доля из общего числа педагогических работников, имеющих квалификационные категории, составляет: 128 человек (68,8 %): из них высшую имеют 64 чел. (34,4%); первую – 64 чел. (34,4 %). Количество обучающихся и воспитанников образовательных организаций имеет тенденцию к снижению, что оказывает существенное влияние на процесс формирования фонда оплаты труда, способствует принятию непопулярных мер по оптимизации сети образовательных учреждений. Система дошкольного образования Бурлинского района включает в себя 8 учреждений (1 юр</w:t>
      </w:r>
      <w:r w:rsidR="00CC0BDB">
        <w:rPr>
          <w:sz w:val="28"/>
          <w:szCs w:val="28"/>
        </w:rPr>
        <w:t xml:space="preserve">. </w:t>
      </w:r>
      <w:r>
        <w:rPr>
          <w:sz w:val="28"/>
          <w:szCs w:val="28"/>
        </w:rPr>
        <w:t xml:space="preserve">лицо МДОУ детский сад «Одуванчик» и 7 структурных подразделений при ОО), функционируют 19 групп. ДОУ посещают 349 воспитанников. Контингент воспитанников от 1 года до 7 лет. В период распространения коронавирусной инфекции ДОО Бурлинского района работали в формате дежурных групп - разновозрастной по своему составу. Систему общего образования представляют 10 образовательных учреждений.(4 юр лица и 6 филиалов).Все образовательные учреждения работают в одну смену. В 4 общеобразовательных организациях с сетью филиалов 1086 обучающихся. Во всех образовательных организациях района имеются школьные автобусы. Наличие школьных автобусов позволяет обеспечить подвоз обучающихся к месту учебы. Ежедневно осуществляется подвоз 157 детей, из них 128 – ежедневно и 29 - еженедельно. Все автобусы оснащены спутниковой системой ГЛОНАСС и тахографами. Эффективность системы образования с точки зрения её результативности невозможно рассматривать без образовательных результатов обучающихся и педагогов. Показатель качества знаний 46,4 %, успеваемость 90 %. Министерство просвещения приняло решение об отмене основных государственных экзаменов (ОГЭ) для 9-классников в России в 2020 году в связи с распространением в стране коронавирусной инфекции. Итоговые оценки учащимся девятых классов выставили на основании годовых. 121 выпускник 9 классов Бурлинского района получили аттестаты об основном общем образовании, из них 2 выпускника получили аттестат с отличием. С реализацией новых ФГОС для детей с </w:t>
      </w:r>
      <w:r>
        <w:rPr>
          <w:sz w:val="28"/>
          <w:szCs w:val="28"/>
        </w:rPr>
        <w:lastRenderedPageBreak/>
        <w:t xml:space="preserve">ограниченными возможностями здоровья, адаптированных образовательных программ в каждой образовательной организации проводится системная работа со всеми детьми, в том числе испытывающими затруднения в освоении образовательных </w:t>
      </w:r>
      <w:r w:rsidR="00CC0BDB">
        <w:rPr>
          <w:sz w:val="28"/>
          <w:szCs w:val="28"/>
        </w:rPr>
        <w:t>программ,</w:t>
      </w:r>
      <w:r>
        <w:rPr>
          <w:sz w:val="28"/>
          <w:szCs w:val="28"/>
        </w:rPr>
        <w:t xml:space="preserve"> и достигать положительных результатов обучения и социализации детей с особыми образовательными потребностями, детей с различными нарушениями здоровья. В Бурлинском районе таких детей становится все больше. Включение детей с особыми образовательными потребностями в среду нормально развивающихся учащихся требует значительных изменений в организации процесса обучения, необходимости обеспечения комплексного психолого-педагогического сопровождения данной категории учащихся на протяжении всего периода его обучения в условиях общеобразовательной школы. В Бурлинском районе функционирует ТПМПК (территориальная психолого-медико-педагогическая комиссия), в каждой ОО имеется ППК (психолого-педагогический консилиум), в ДОУ-консультационные пункты сопровождения ребенка с особыми образовательными потребностями, обеспечения оптимального развития ребенка, успешной интеграции в социум. Организаторами и участниками воспитывающих мероприятий в образовательных организациях являются классные руководители, психологи, старшие вожатые, педагоги предметники. К этому процессу привлекаются представители здравоохранения, правовых структур, общественных организаций, культуры, родители. Детские организации Бурлинского района имеют в своём составе 7 первичных организаций, численностью 793 человека, и являются субъектом Алтайского краевого Союза детских и подростковых организаций, субъекта регионального отделения «Российской движение школьников». Устьянская школа является пилотной в рамках Общероссийской общественно-государственной детско-юношеской организации «Российское движение школьников». В течение 2020 года в районе проводилась работа по выявлению детейсирот и детей, оставшихся без попечения родителей. Размер денежных средств в 2020 году составил 12753 рубля 75 копеек. Всего в районе 15 опекунских семей, в них 17 детей, 5 приёмных семей, в них 7 детей. В МБУ ДО «Центр дополнительного образования» получают дополнительное образование 307 обучающихся: 36 человек – в объединениях технической направленности; 24 человек – социально - педагогической направленности; 48 человек - художественной направленности; 28 человек – естественно – научной направленности; 23 человека - туристко – краеведческой направленности; 148 человек – физкультурно-спортивной направленности. По состоянию на </w:t>
      </w:r>
      <w:r>
        <w:rPr>
          <w:sz w:val="28"/>
          <w:szCs w:val="28"/>
        </w:rPr>
        <w:lastRenderedPageBreak/>
        <w:t xml:space="preserve">01.01.2021 года в районе работают МБУК «Многофункциональный культурный центр» Бурлинского района Алтайского края, в структуру которого входят: отделы районный Дом культуры, Бурлинский районный краеведческий музей, межпоселенческая модельная библиотека, методический отдел и 13 филиалов, расположенных в поселениях и МБУДО «Бурлинская детская школа искусств». На результативность деятельности учреждений культуры в прошедшем году существенно повлияли ограничения, связанные с пандемией и в первую очередь, приостановка проведения культурно-массовых мероприятий в селах района. В 2020 году учреждениями культуры района проведено 1319 культурно – массовых мероприятий. Из них: 1036 – культурно-досуговых мероприятий; 283 – информационно-просветительских мероприятий. В районе проведены традиционные фестивали, конкурсы, праздники, выставки по многим жанрам народного творчества, направленные на реализацию творческого потенциала коллективов самодеятельного художественного творчества, повышение их исполнительского мастерства и рост профессионализма всех жанров. Однако в 2020 году из-за пандемии пришлось внести изменения в планы работы, часть мероприятий перенесены на 2021 год, ряд других прошел в видео формате. Творческие коллективы и солисты Бурлинского района приняли участие в мероприятиях разного уровня и награждены дипломами различных степеней. В рамках краевого бюджета учреждения культуры получили книг и периодических изданий 411 экземпляров на сумму 114 435,53 рубля. В своей практической работе комитет по культуре и его структурные подразделения уделяют большое значение вопросу привлечения внебюджетных средств на развитие учреждений культуры и проведение мероприятий, а также оказывают платные услуги. В 2020 году доходы от платных услуг населению учреждениями культуры района составил 249730 рублей, спонсорская помощь составила 115000 рублей. Ассоциация общественных объединений «Международный союз немецкой культуры» г. Москвы в рамках программ поддержки Российских немцев и проектов «Гуманитарные рождественские посылки» и «Оснащение Центров немецкой культуры» выделила гуманитарной и адресной помощи для центра немецкой культуры «Надежда» 17500 рублей. В 2020 году на средства, выделенные Администрацией Бурлинского района, было подготовлено основание для установки малой спортивной площадки ГТО в селе Бурла стоимостью – 287 519,18 руб. В ноябре 2020 года район получил комплект спортивно-технического оборудования для создания малых спортивных площадок, закупаемого за счет средств федерального </w:t>
      </w:r>
      <w:r>
        <w:rPr>
          <w:sz w:val="28"/>
          <w:szCs w:val="28"/>
        </w:rPr>
        <w:lastRenderedPageBreak/>
        <w:t xml:space="preserve">бюджета в рамках Государственной программы Российской Федерации «Развитие физической культуры и спорта», стоимостью – 2 839 088,87 руб. Установка этого спортивно-технического оборудования на оборудованной площадке запланирована на май 2021 года. Календарь спортивно-массовых и физкультурно-оздоровительных мероприятий на 2020 год включал 27 районных, краевых и межрайонных мероприятий. К сожалению, из-за ситуации с коронавирусом были отменены многие мероприятия. В течение года проведены районные соревнования и турниры по волейболу, футболу, баскетболу, мини-футболу, шахматам, посвященные различным датам. Победители и призеры награждались кубками, дипломами, грамотами и призами. Финансовые средства, предусмотренные в бюджете района для развития взрослого и детского спорта по 70 тыс. рублей освоены в полном объеме, приобретен необходимый спортинвентарь. В то же время следует обратить внимание на активизацию работы по пропаганде здорового образа жизни, развитию на территории района спортивного движения, расширение видов спорта и вовлечение в спортивные мероприятия школьников и молодежи. На территории Бурлинского района действует Совет молодежи при Администрации Бурлинского района, который состоит из 19 человек. В 2020 г. было проведено 3 онлайн-заседания Совета молодежи. Данное изменение по сравнению с прошлым годом обусловлено внезапной пандемией нового коронавируса COVID-19. За 2020 год Молодежным советом проведено более 15 мероприятий, его члены приняли онлайн-участие в молодежном управленческом форуме «Алтай. Территория развития-2020», в онлайн-сессии Молодежного Парламента Алтайского края, в Х Слете добровольческих объединений Алтайского края. Молодежный совет принимал активное участие в различных дистанционных онлайн-конкурсах, таких как «Самая креативная маска», проводимых в с. Табуны среди молодежи Славгородского округа. Представительница Бурлинского района стала победителем данного конкурса. Активно развивается волонтерская деятельность. В 2020-м году в Алтайском крае состоялся Марафон добровольческих объединений «#МыВместе», в рамках марафона было доставлено 109 продуктовых набора. В рамках этого мероприятия были подведены итоги регионального творческого конкурса «10 лет в фокусе добра» в номинации «Добро в лицах» в категории «Видеоролик» была отмечена Надежда Бахвалова. Результативно и на хорошем организационном уровне развивается волонтерское движение на территории Михайловского сельсовета под энергичным руководством главы Михайловского сельсовета Сопелкиной О.В. Волонтерское </w:t>
      </w:r>
      <w:r>
        <w:rPr>
          <w:sz w:val="28"/>
          <w:szCs w:val="28"/>
        </w:rPr>
        <w:lastRenderedPageBreak/>
        <w:t xml:space="preserve">объединение «Путь добра» из с.Бурлы приняло участие в межрайонном конкурсе видеороликов «Я – доброволец» в с. Благовещенка. Всего на территории Бурлинского района в 2020 году работало 62 волонтера. На территории района услуги здравоохранения оказывает КГБУЗ «Бурлинская ЦРБ», в составе которой имеется: стационар круглосуточный на 40 коек, дневной стационар на 13 коек, поликлиника на 216 посещений в смену, Устьянская врачебная амбулатория, 13 ФАПов. В учреждении занято 136 человек, в том числе 14 врачей, 61 средний медицинский работник. В 2020 году в рамках национального проекта «Здравоохранение» за федеральные средства проведена реконструкция инфекционного отделения в детскую поликлинику на общую сумму 6,8 млн. рублей. В рамках информатизации медицинских учреждений была проведена закупка 52 персональных компьютеров с оргтехникой на сумму около 2 млн. рублей. 3 ФАПа (Михайловский, Первомайский, Новосельский) подключены к высокоскоростному </w:t>
      </w:r>
      <w:r w:rsidR="00A35BE5">
        <w:rPr>
          <w:sz w:val="28"/>
          <w:szCs w:val="28"/>
        </w:rPr>
        <w:t>интернет-соединению</w:t>
      </w:r>
      <w:r>
        <w:rPr>
          <w:sz w:val="28"/>
          <w:szCs w:val="28"/>
        </w:rPr>
        <w:t xml:space="preserve"> в рамках программы цифровизации социально-значимых объектов. Обеспеченность медицинским персоналом оставляет желать лучшего. По данным сайта ЦРБ имеется 8 вакансий врачей и 6 вакансий среднего мед. персонала. Администрация района совместно с руководством ЦРБ принимают меры к привлечению специалистов в район. Ежегодно выпускники общеобразовательных учреждений участвуют в конкурсе на получение целевого направления для обучения в медицинском университете. В районе третий год действует муниципальная целевая программа «О привлечении и закреплении медицинских кадров на территории муниципального образования Бурлинский район». Администрация района приняла решение о переоборудовании свободных помещений под благоустроенные квартиры для молодых специалистов, предусмотрены выплаты подъемных за счет средств районного бюджета. Пока должного эффекта принятые меры не принесли. В 2020 году медики района, как и всей страны, работали в особых условиях. В связи с распространением новой коронавирусной инфекцией «COVID-19» был ограничен плановый прием пациентов практически на 6 месяцев с небольшими перерывами. За период с мая по декабрь 2020 года было зарегистрировано 448 случаев новой коронавирусной инфекции, обеспечено 63 пациента бесплатными противовирусными препаратами. Были закуплены медицинские изделия (рециркуляторы, пульсоксиметры, бесконтактные термометры) на сумму 166 070 рублей. Особые трудности в работе составляли практически ежедневные транспортировки больных в специальные учреждения, которые, в силу нашего географического </w:t>
      </w:r>
      <w:r>
        <w:rPr>
          <w:sz w:val="28"/>
          <w:szCs w:val="28"/>
        </w:rPr>
        <w:lastRenderedPageBreak/>
        <w:t xml:space="preserve">положения, находятся на значительном расстоянии, еженедельные поездки в краевой центр для перевозки проб и результатов тестов. А главное – ежедневное общение с людьми, которые в непростой ситуации психологически не были к ней готовы, круглосуточная работа в спецодежде, со спецоборудованием и препаратами с соблюдением всех мер предосторожности. Пользуясь сегодняшним представительным </w:t>
      </w:r>
      <w:r w:rsidR="00951C65">
        <w:rPr>
          <w:sz w:val="28"/>
          <w:szCs w:val="28"/>
        </w:rPr>
        <w:t>форумом,</w:t>
      </w:r>
      <w:r>
        <w:rPr>
          <w:sz w:val="28"/>
          <w:szCs w:val="28"/>
        </w:rPr>
        <w:t xml:space="preserve"> хотел бы от имени Администрации района и всех присутствующих выразить искренние слова благодарности нашим медицинским работникам, обслуживающему персоналу центральной районной больницы за большую, ответственную и рискованную работу по защите и охране здоровья наших граждан.</w:t>
      </w:r>
    </w:p>
    <w:p w:rsidR="00160D4D" w:rsidRDefault="00160D4D">
      <w:pPr>
        <w:spacing w:line="276" w:lineRule="auto"/>
        <w:jc w:val="center"/>
        <w:divId w:val="297803595"/>
      </w:pPr>
    </w:p>
    <w:tbl>
      <w:tblPr>
        <w:tblpPr w:leftFromText="180" w:rightFromText="180" w:vertAnchor="text" w:horzAnchor="page" w:tblpX="2401" w:tblpY="1047"/>
        <w:tblW w:w="0" w:type="auto"/>
        <w:tblCellSpacing w:w="15" w:type="dxa"/>
        <w:tblCellMar>
          <w:top w:w="15" w:type="dxa"/>
          <w:left w:w="15" w:type="dxa"/>
          <w:bottom w:w="15" w:type="dxa"/>
          <w:right w:w="15" w:type="dxa"/>
        </w:tblCellMar>
        <w:tblLook w:val="04A0"/>
      </w:tblPr>
      <w:tblGrid>
        <w:gridCol w:w="1726"/>
        <w:gridCol w:w="1980"/>
        <w:gridCol w:w="2003"/>
      </w:tblGrid>
      <w:tr w:rsidR="00951C65" w:rsidTr="00951C65">
        <w:trPr>
          <w:divId w:val="1957440262"/>
          <w:tblCellSpacing w:w="15" w:type="dxa"/>
        </w:trPr>
        <w:tc>
          <w:tcPr>
            <w:tcW w:w="0" w:type="auto"/>
            <w:vAlign w:val="center"/>
            <w:hideMark/>
          </w:tcPr>
          <w:p w:rsidR="00951C65" w:rsidRDefault="00951C65" w:rsidP="00951C65">
            <w:pPr>
              <w:spacing w:line="276" w:lineRule="auto"/>
              <w:rPr>
                <w:sz w:val="28"/>
                <w:szCs w:val="28"/>
              </w:rPr>
            </w:pPr>
            <w:r>
              <w:rPr>
                <w:sz w:val="28"/>
                <w:szCs w:val="28"/>
              </w:rPr>
              <w:t>Глава  района</w:t>
            </w:r>
          </w:p>
        </w:tc>
        <w:tc>
          <w:tcPr>
            <w:tcW w:w="0" w:type="auto"/>
            <w:vAlign w:val="bottom"/>
            <w:hideMark/>
          </w:tcPr>
          <w:p w:rsidR="00951C65" w:rsidRDefault="00951C65" w:rsidP="00951C65">
            <w:r>
              <w:t>________________</w:t>
            </w:r>
          </w:p>
        </w:tc>
        <w:tc>
          <w:tcPr>
            <w:tcW w:w="0" w:type="auto"/>
            <w:vAlign w:val="bottom"/>
            <w:hideMark/>
          </w:tcPr>
          <w:p w:rsidR="00951C65" w:rsidRDefault="00951C65" w:rsidP="00951C65">
            <w:pPr>
              <w:spacing w:line="276" w:lineRule="auto"/>
              <w:rPr>
                <w:sz w:val="28"/>
                <w:szCs w:val="28"/>
              </w:rPr>
            </w:pPr>
            <w:r>
              <w:rPr>
                <w:sz w:val="28"/>
                <w:szCs w:val="28"/>
              </w:rPr>
              <w:t>С.А. Давыденко</w:t>
            </w:r>
          </w:p>
        </w:tc>
      </w:tr>
      <w:tr w:rsidR="00951C65" w:rsidTr="00951C65">
        <w:trPr>
          <w:divId w:val="1957440262"/>
          <w:tblCellSpacing w:w="15" w:type="dxa"/>
        </w:trPr>
        <w:tc>
          <w:tcPr>
            <w:tcW w:w="0" w:type="auto"/>
            <w:vAlign w:val="center"/>
            <w:hideMark/>
          </w:tcPr>
          <w:p w:rsidR="00951C65" w:rsidRDefault="00951C65" w:rsidP="00951C65">
            <w:r>
              <w:t> </w:t>
            </w:r>
          </w:p>
        </w:tc>
        <w:tc>
          <w:tcPr>
            <w:tcW w:w="0" w:type="auto"/>
            <w:hideMark/>
          </w:tcPr>
          <w:p w:rsidR="00951C65" w:rsidRDefault="00951C65" w:rsidP="00951C65">
            <w:r>
              <w:t>(подпись)</w:t>
            </w:r>
          </w:p>
        </w:tc>
        <w:tc>
          <w:tcPr>
            <w:tcW w:w="0" w:type="auto"/>
            <w:vAlign w:val="center"/>
            <w:hideMark/>
          </w:tcPr>
          <w:p w:rsidR="00951C65" w:rsidRDefault="00951C65" w:rsidP="00951C65">
            <w:r>
              <w:t> </w:t>
            </w:r>
          </w:p>
        </w:tc>
      </w:tr>
    </w:tbl>
    <w:p w:rsidR="00160D4D" w:rsidRDefault="00160D4D">
      <w:pPr>
        <w:spacing w:after="240" w:line="276" w:lineRule="auto"/>
        <w:divId w:val="1957440262"/>
      </w:pPr>
      <w:r>
        <w:br/>
      </w:r>
      <w:r>
        <w:br/>
      </w:r>
    </w:p>
    <w:tbl>
      <w:tblPr>
        <w:tblW w:w="0" w:type="auto"/>
        <w:tblCellSpacing w:w="15" w:type="dxa"/>
        <w:tblCellMar>
          <w:top w:w="15" w:type="dxa"/>
          <w:left w:w="15" w:type="dxa"/>
          <w:bottom w:w="15" w:type="dxa"/>
          <w:right w:w="15" w:type="dxa"/>
        </w:tblCellMar>
        <w:tblLook w:val="04A0"/>
      </w:tblPr>
      <w:tblGrid>
        <w:gridCol w:w="468"/>
        <w:gridCol w:w="81"/>
      </w:tblGrid>
      <w:tr w:rsidR="00160D4D">
        <w:trPr>
          <w:divId w:val="1957440262"/>
          <w:tblCellSpacing w:w="15" w:type="dxa"/>
        </w:trPr>
        <w:tc>
          <w:tcPr>
            <w:tcW w:w="5550" w:type="dxa"/>
            <w:vAlign w:val="center"/>
            <w:hideMark/>
          </w:tcPr>
          <w:p w:rsidR="00160D4D" w:rsidRDefault="00160D4D">
            <w:r>
              <w:t> </w:t>
            </w:r>
          </w:p>
        </w:tc>
        <w:tc>
          <w:tcPr>
            <w:tcW w:w="0" w:type="auto"/>
            <w:vAlign w:val="center"/>
            <w:hideMark/>
          </w:tcPr>
          <w:p w:rsidR="00160D4D" w:rsidRDefault="00160D4D"/>
        </w:tc>
      </w:tr>
    </w:tbl>
    <w:p w:rsidR="00160D4D" w:rsidRDefault="00160D4D">
      <w:pPr>
        <w:divId w:val="1957440262"/>
      </w:pPr>
    </w:p>
    <w:sectPr w:rsidR="00160D4D" w:rsidSect="00B7173A">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32B2" w:rsidRDefault="00F032B2" w:rsidP="00B7173A">
      <w:r>
        <w:separator/>
      </w:r>
    </w:p>
  </w:endnote>
  <w:endnote w:type="continuationSeparator" w:id="0">
    <w:p w:rsidR="00F032B2" w:rsidRDefault="00F032B2" w:rsidP="00B717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3A" w:rsidRDefault="00B7173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3A" w:rsidRDefault="00B7173A" w:rsidP="00B7173A">
    <w:pPr>
      <w:pStyle w:val="a7"/>
      <w:jc w:val="right"/>
    </w:pPr>
    <w:fldSimple w:instr=" PAGE  \* MERGEFORMAT ">
      <w:r w:rsidR="00972755">
        <w:rPr>
          <w:noProof/>
        </w:rPr>
        <w:t>2</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3A" w:rsidRDefault="00B717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32B2" w:rsidRDefault="00F032B2" w:rsidP="00B7173A">
      <w:r>
        <w:separator/>
      </w:r>
    </w:p>
  </w:footnote>
  <w:footnote w:type="continuationSeparator" w:id="0">
    <w:p w:rsidR="00F032B2" w:rsidRDefault="00F032B2" w:rsidP="00B717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3A" w:rsidRDefault="00B717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3A" w:rsidRDefault="00B7173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73A" w:rsidRDefault="00B7173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B7173A"/>
    <w:rsid w:val="00160D4D"/>
    <w:rsid w:val="00251EB1"/>
    <w:rsid w:val="00635619"/>
    <w:rsid w:val="00790BD6"/>
    <w:rsid w:val="00951C65"/>
    <w:rsid w:val="00972755"/>
    <w:rsid w:val="00A35BE5"/>
    <w:rsid w:val="00B7173A"/>
    <w:rsid w:val="00CC0BDB"/>
    <w:rsid w:val="00F032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styleId="a4">
    <w:name w:val="Strong"/>
    <w:basedOn w:val="a0"/>
    <w:uiPriority w:val="22"/>
    <w:qFormat/>
    <w:rPr>
      <w:b/>
      <w:bCs/>
    </w:rPr>
  </w:style>
  <w:style w:type="paragraph" w:styleId="a5">
    <w:name w:val="header"/>
    <w:basedOn w:val="a"/>
    <w:link w:val="a6"/>
    <w:uiPriority w:val="99"/>
    <w:semiHidden/>
    <w:unhideWhenUsed/>
    <w:rsid w:val="00B7173A"/>
    <w:pPr>
      <w:tabs>
        <w:tab w:val="center" w:pos="4677"/>
        <w:tab w:val="right" w:pos="9355"/>
      </w:tabs>
    </w:pPr>
  </w:style>
  <w:style w:type="character" w:customStyle="1" w:styleId="a6">
    <w:name w:val="Верхний колонтитул Знак"/>
    <w:basedOn w:val="a0"/>
    <w:link w:val="a5"/>
    <w:uiPriority w:val="99"/>
    <w:semiHidden/>
    <w:rsid w:val="00B7173A"/>
    <w:rPr>
      <w:rFonts w:eastAsia="Times New Roman"/>
      <w:sz w:val="24"/>
      <w:szCs w:val="24"/>
    </w:rPr>
  </w:style>
  <w:style w:type="paragraph" w:styleId="a7">
    <w:name w:val="footer"/>
    <w:basedOn w:val="a"/>
    <w:link w:val="a8"/>
    <w:uiPriority w:val="99"/>
    <w:semiHidden/>
    <w:unhideWhenUsed/>
    <w:rsid w:val="00B7173A"/>
    <w:pPr>
      <w:tabs>
        <w:tab w:val="center" w:pos="4677"/>
        <w:tab w:val="right" w:pos="9355"/>
      </w:tabs>
    </w:pPr>
  </w:style>
  <w:style w:type="character" w:customStyle="1" w:styleId="a8">
    <w:name w:val="Нижний колонтитул Знак"/>
    <w:basedOn w:val="a0"/>
    <w:link w:val="a7"/>
    <w:uiPriority w:val="99"/>
    <w:semiHidden/>
    <w:rsid w:val="00B7173A"/>
    <w:rPr>
      <w:rFonts w:eastAsia="Times New Roman"/>
      <w:sz w:val="24"/>
      <w:szCs w:val="24"/>
    </w:rPr>
  </w:style>
</w:styles>
</file>

<file path=word/webSettings.xml><?xml version="1.0" encoding="utf-8"?>
<w:webSettings xmlns:r="http://schemas.openxmlformats.org/officeDocument/2006/relationships" xmlns:w="http://schemas.openxmlformats.org/wordprocessingml/2006/main">
  <w:divs>
    <w:div w:id="1957440262">
      <w:marLeft w:val="0"/>
      <w:marRight w:val="0"/>
      <w:marTop w:val="0"/>
      <w:marBottom w:val="0"/>
      <w:divBdr>
        <w:top w:val="none" w:sz="0" w:space="0" w:color="auto"/>
        <w:left w:val="none" w:sz="0" w:space="0" w:color="auto"/>
        <w:bottom w:val="none" w:sz="0" w:space="0" w:color="auto"/>
        <w:right w:val="none" w:sz="0" w:space="0" w:color="auto"/>
      </w:divBdr>
      <w:divsChild>
        <w:div w:id="1181965045">
          <w:marLeft w:val="300"/>
          <w:marRight w:val="0"/>
          <w:marTop w:val="0"/>
          <w:marBottom w:val="0"/>
          <w:divBdr>
            <w:top w:val="none" w:sz="0" w:space="0" w:color="auto"/>
            <w:left w:val="none" w:sz="0" w:space="0" w:color="auto"/>
            <w:bottom w:val="none" w:sz="0" w:space="0" w:color="auto"/>
            <w:right w:val="none" w:sz="0" w:space="0" w:color="auto"/>
          </w:divBdr>
          <w:divsChild>
            <w:div w:id="2053186187">
              <w:marLeft w:val="0"/>
              <w:marRight w:val="0"/>
              <w:marTop w:val="0"/>
              <w:marBottom w:val="0"/>
              <w:divBdr>
                <w:top w:val="none" w:sz="0" w:space="0" w:color="auto"/>
                <w:left w:val="none" w:sz="0" w:space="0" w:color="auto"/>
                <w:bottom w:val="none" w:sz="0" w:space="0" w:color="auto"/>
                <w:right w:val="none" w:sz="0" w:space="0" w:color="auto"/>
              </w:divBdr>
            </w:div>
          </w:divsChild>
        </w:div>
        <w:div w:id="1282959195">
          <w:marLeft w:val="300"/>
          <w:marRight w:val="0"/>
          <w:marTop w:val="0"/>
          <w:marBottom w:val="0"/>
          <w:divBdr>
            <w:top w:val="none" w:sz="0" w:space="0" w:color="auto"/>
            <w:left w:val="none" w:sz="0" w:space="0" w:color="auto"/>
            <w:bottom w:val="none" w:sz="0" w:space="0" w:color="auto"/>
            <w:right w:val="none" w:sz="0" w:space="0" w:color="auto"/>
          </w:divBdr>
          <w:divsChild>
            <w:div w:id="2107069808">
              <w:marLeft w:val="0"/>
              <w:marRight w:val="0"/>
              <w:marTop w:val="0"/>
              <w:marBottom w:val="0"/>
              <w:divBdr>
                <w:top w:val="none" w:sz="0" w:space="0" w:color="auto"/>
                <w:left w:val="none" w:sz="0" w:space="0" w:color="auto"/>
                <w:bottom w:val="none" w:sz="0" w:space="0" w:color="auto"/>
                <w:right w:val="none" w:sz="0" w:space="0" w:color="auto"/>
              </w:divBdr>
            </w:div>
          </w:divsChild>
        </w:div>
        <w:div w:id="227962101">
          <w:marLeft w:val="300"/>
          <w:marRight w:val="0"/>
          <w:marTop w:val="0"/>
          <w:marBottom w:val="0"/>
          <w:divBdr>
            <w:top w:val="none" w:sz="0" w:space="0" w:color="auto"/>
            <w:left w:val="none" w:sz="0" w:space="0" w:color="auto"/>
            <w:bottom w:val="none" w:sz="0" w:space="0" w:color="auto"/>
            <w:right w:val="none" w:sz="0" w:space="0" w:color="auto"/>
          </w:divBdr>
          <w:divsChild>
            <w:div w:id="1009255494">
              <w:marLeft w:val="0"/>
              <w:marRight w:val="0"/>
              <w:marTop w:val="0"/>
              <w:marBottom w:val="0"/>
              <w:divBdr>
                <w:top w:val="none" w:sz="0" w:space="0" w:color="auto"/>
                <w:left w:val="none" w:sz="0" w:space="0" w:color="auto"/>
                <w:bottom w:val="none" w:sz="0" w:space="0" w:color="auto"/>
                <w:right w:val="none" w:sz="0" w:space="0" w:color="auto"/>
              </w:divBdr>
            </w:div>
          </w:divsChild>
        </w:div>
        <w:div w:id="188225913">
          <w:marLeft w:val="300"/>
          <w:marRight w:val="0"/>
          <w:marTop w:val="0"/>
          <w:marBottom w:val="0"/>
          <w:divBdr>
            <w:top w:val="none" w:sz="0" w:space="0" w:color="auto"/>
            <w:left w:val="none" w:sz="0" w:space="0" w:color="auto"/>
            <w:bottom w:val="none" w:sz="0" w:space="0" w:color="auto"/>
            <w:right w:val="none" w:sz="0" w:space="0" w:color="auto"/>
          </w:divBdr>
          <w:divsChild>
            <w:div w:id="421028194">
              <w:marLeft w:val="0"/>
              <w:marRight w:val="0"/>
              <w:marTop w:val="0"/>
              <w:marBottom w:val="0"/>
              <w:divBdr>
                <w:top w:val="none" w:sz="0" w:space="0" w:color="auto"/>
                <w:left w:val="none" w:sz="0" w:space="0" w:color="auto"/>
                <w:bottom w:val="none" w:sz="0" w:space="0" w:color="auto"/>
                <w:right w:val="none" w:sz="0" w:space="0" w:color="auto"/>
              </w:divBdr>
            </w:div>
          </w:divsChild>
        </w:div>
        <w:div w:id="22445502">
          <w:marLeft w:val="300"/>
          <w:marRight w:val="0"/>
          <w:marTop w:val="0"/>
          <w:marBottom w:val="0"/>
          <w:divBdr>
            <w:top w:val="none" w:sz="0" w:space="0" w:color="auto"/>
            <w:left w:val="none" w:sz="0" w:space="0" w:color="auto"/>
            <w:bottom w:val="none" w:sz="0" w:space="0" w:color="auto"/>
            <w:right w:val="none" w:sz="0" w:space="0" w:color="auto"/>
          </w:divBdr>
          <w:divsChild>
            <w:div w:id="1334599897">
              <w:marLeft w:val="0"/>
              <w:marRight w:val="0"/>
              <w:marTop w:val="0"/>
              <w:marBottom w:val="0"/>
              <w:divBdr>
                <w:top w:val="none" w:sz="0" w:space="0" w:color="auto"/>
                <w:left w:val="none" w:sz="0" w:space="0" w:color="auto"/>
                <w:bottom w:val="none" w:sz="0" w:space="0" w:color="auto"/>
                <w:right w:val="none" w:sz="0" w:space="0" w:color="auto"/>
              </w:divBdr>
            </w:div>
          </w:divsChild>
        </w:div>
        <w:div w:id="480079316">
          <w:marLeft w:val="300"/>
          <w:marRight w:val="0"/>
          <w:marTop w:val="0"/>
          <w:marBottom w:val="0"/>
          <w:divBdr>
            <w:top w:val="none" w:sz="0" w:space="0" w:color="auto"/>
            <w:left w:val="none" w:sz="0" w:space="0" w:color="auto"/>
            <w:bottom w:val="none" w:sz="0" w:space="0" w:color="auto"/>
            <w:right w:val="none" w:sz="0" w:space="0" w:color="auto"/>
          </w:divBdr>
          <w:divsChild>
            <w:div w:id="509295027">
              <w:marLeft w:val="0"/>
              <w:marRight w:val="0"/>
              <w:marTop w:val="0"/>
              <w:marBottom w:val="0"/>
              <w:divBdr>
                <w:top w:val="none" w:sz="0" w:space="0" w:color="auto"/>
                <w:left w:val="none" w:sz="0" w:space="0" w:color="auto"/>
                <w:bottom w:val="none" w:sz="0" w:space="0" w:color="auto"/>
                <w:right w:val="none" w:sz="0" w:space="0" w:color="auto"/>
              </w:divBdr>
            </w:div>
          </w:divsChild>
        </w:div>
        <w:div w:id="1153718179">
          <w:marLeft w:val="300"/>
          <w:marRight w:val="0"/>
          <w:marTop w:val="0"/>
          <w:marBottom w:val="0"/>
          <w:divBdr>
            <w:top w:val="none" w:sz="0" w:space="0" w:color="auto"/>
            <w:left w:val="none" w:sz="0" w:space="0" w:color="auto"/>
            <w:bottom w:val="none" w:sz="0" w:space="0" w:color="auto"/>
            <w:right w:val="none" w:sz="0" w:space="0" w:color="auto"/>
          </w:divBdr>
          <w:divsChild>
            <w:div w:id="419065809">
              <w:marLeft w:val="0"/>
              <w:marRight w:val="0"/>
              <w:marTop w:val="0"/>
              <w:marBottom w:val="0"/>
              <w:divBdr>
                <w:top w:val="none" w:sz="0" w:space="0" w:color="auto"/>
                <w:left w:val="none" w:sz="0" w:space="0" w:color="auto"/>
                <w:bottom w:val="none" w:sz="0" w:space="0" w:color="auto"/>
                <w:right w:val="none" w:sz="0" w:space="0" w:color="auto"/>
              </w:divBdr>
            </w:div>
          </w:divsChild>
        </w:div>
        <w:div w:id="1811168251">
          <w:marLeft w:val="300"/>
          <w:marRight w:val="0"/>
          <w:marTop w:val="0"/>
          <w:marBottom w:val="0"/>
          <w:divBdr>
            <w:top w:val="none" w:sz="0" w:space="0" w:color="auto"/>
            <w:left w:val="none" w:sz="0" w:space="0" w:color="auto"/>
            <w:bottom w:val="none" w:sz="0" w:space="0" w:color="auto"/>
            <w:right w:val="none" w:sz="0" w:space="0" w:color="auto"/>
          </w:divBdr>
          <w:divsChild>
            <w:div w:id="788813429">
              <w:marLeft w:val="0"/>
              <w:marRight w:val="0"/>
              <w:marTop w:val="0"/>
              <w:marBottom w:val="0"/>
              <w:divBdr>
                <w:top w:val="none" w:sz="0" w:space="0" w:color="auto"/>
                <w:left w:val="none" w:sz="0" w:space="0" w:color="auto"/>
                <w:bottom w:val="none" w:sz="0" w:space="0" w:color="auto"/>
                <w:right w:val="none" w:sz="0" w:space="0" w:color="auto"/>
              </w:divBdr>
            </w:div>
          </w:divsChild>
        </w:div>
        <w:div w:id="297803595">
          <w:marLeft w:val="300"/>
          <w:marRight w:val="0"/>
          <w:marTop w:val="0"/>
          <w:marBottom w:val="0"/>
          <w:divBdr>
            <w:top w:val="none" w:sz="0" w:space="0" w:color="auto"/>
            <w:left w:val="none" w:sz="0" w:space="0" w:color="auto"/>
            <w:bottom w:val="none" w:sz="0" w:space="0" w:color="auto"/>
            <w:right w:val="none" w:sz="0" w:space="0" w:color="auto"/>
          </w:divBdr>
          <w:divsChild>
            <w:div w:id="44638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6945</Words>
  <Characters>39593</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GUEI</Company>
  <LinksUpToDate>false</LinksUpToDate>
  <CharactersWithSpaces>46446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webadmin</dc:creator>
  <cp:keywords/>
  <cp:lastModifiedBy>ТТВ</cp:lastModifiedBy>
  <cp:revision>2</cp:revision>
  <dcterms:created xsi:type="dcterms:W3CDTF">2021-04-30T07:41:00Z</dcterms:created>
  <dcterms:modified xsi:type="dcterms:W3CDTF">2021-04-30T07:41:00Z</dcterms:modified>
</cp:coreProperties>
</file>