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1A" w:rsidRDefault="0074511A">
      <w:pPr>
        <w:spacing w:line="276" w:lineRule="auto"/>
        <w:divId w:val="1537622445"/>
      </w:pPr>
    </w:p>
    <w:tbl>
      <w:tblPr>
        <w:tblW w:w="5000" w:type="pct"/>
        <w:tblCellSpacing w:w="0" w:type="dxa"/>
        <w:tblCellMar>
          <w:left w:w="0" w:type="dxa"/>
          <w:right w:w="0" w:type="dxa"/>
        </w:tblCellMar>
        <w:tblLook w:val="04A0"/>
      </w:tblPr>
      <w:tblGrid>
        <w:gridCol w:w="9355"/>
      </w:tblGrid>
      <w:tr w:rsidR="0074511A">
        <w:trPr>
          <w:divId w:val="1537622445"/>
          <w:tblCellSpacing w:w="0" w:type="dxa"/>
        </w:trPr>
        <w:tc>
          <w:tcPr>
            <w:tcW w:w="0" w:type="auto"/>
            <w:vAlign w:val="center"/>
            <w:hideMark/>
          </w:tcPr>
          <w:p w:rsidR="0074511A" w:rsidRDefault="0074511A">
            <w:pPr>
              <w:spacing w:line="276" w:lineRule="auto"/>
              <w:jc w:val="center"/>
              <w:rPr>
                <w:b/>
                <w:bCs/>
                <w:sz w:val="28"/>
                <w:szCs w:val="28"/>
              </w:rPr>
            </w:pPr>
            <w:r>
              <w:rPr>
                <w:b/>
                <w:bCs/>
                <w:sz w:val="28"/>
                <w:szCs w:val="28"/>
              </w:rPr>
              <w:t>Информация о социально-экономическом развитии</w:t>
            </w:r>
          </w:p>
        </w:tc>
      </w:tr>
      <w:tr w:rsidR="0074511A">
        <w:trPr>
          <w:divId w:val="1537622445"/>
          <w:tblCellSpacing w:w="0" w:type="dxa"/>
        </w:trPr>
        <w:tc>
          <w:tcPr>
            <w:tcW w:w="0" w:type="auto"/>
            <w:tcBorders>
              <w:bottom w:val="single" w:sz="8" w:space="0" w:color="000000"/>
            </w:tcBorders>
            <w:vAlign w:val="center"/>
            <w:hideMark/>
          </w:tcPr>
          <w:p w:rsidR="0074511A" w:rsidRDefault="001F1010">
            <w:pPr>
              <w:spacing w:line="276" w:lineRule="auto"/>
              <w:jc w:val="center"/>
              <w:rPr>
                <w:sz w:val="28"/>
                <w:szCs w:val="28"/>
              </w:rPr>
            </w:pPr>
            <w:r>
              <w:rPr>
                <w:b/>
                <w:bCs/>
                <w:sz w:val="28"/>
                <w:szCs w:val="28"/>
              </w:rPr>
              <w:t>Бурлинского района</w:t>
            </w:r>
            <w:r w:rsidR="000D3D3D">
              <w:rPr>
                <w:b/>
                <w:bCs/>
                <w:sz w:val="28"/>
                <w:szCs w:val="28"/>
                <w:lang w:val="en-US"/>
              </w:rPr>
              <w:t xml:space="preserve"> </w:t>
            </w:r>
            <w:r w:rsidR="0074511A">
              <w:rPr>
                <w:b/>
                <w:bCs/>
                <w:sz w:val="28"/>
                <w:szCs w:val="28"/>
              </w:rPr>
              <w:t xml:space="preserve">в </w:t>
            </w:r>
            <w:r>
              <w:rPr>
                <w:b/>
                <w:bCs/>
                <w:sz w:val="28"/>
                <w:szCs w:val="28"/>
                <w:lang w:val="en-US"/>
              </w:rPr>
              <w:t>2021</w:t>
            </w:r>
            <w:r w:rsidR="0074511A">
              <w:rPr>
                <w:b/>
                <w:bCs/>
                <w:sz w:val="28"/>
                <w:szCs w:val="28"/>
              </w:rPr>
              <w:t xml:space="preserve"> году.</w:t>
            </w:r>
          </w:p>
        </w:tc>
      </w:tr>
      <w:tr w:rsidR="0074511A">
        <w:trPr>
          <w:divId w:val="1537622445"/>
          <w:tblCellSpacing w:w="0" w:type="dxa"/>
        </w:trPr>
        <w:tc>
          <w:tcPr>
            <w:tcW w:w="0" w:type="auto"/>
            <w:vAlign w:val="center"/>
            <w:hideMark/>
          </w:tcPr>
          <w:p w:rsidR="0074511A" w:rsidRDefault="0074511A">
            <w:pPr>
              <w:pStyle w:val="1"/>
              <w:spacing w:line="276" w:lineRule="auto"/>
              <w:jc w:val="center"/>
              <w:rPr>
                <w:sz w:val="22"/>
                <w:szCs w:val="22"/>
              </w:rPr>
            </w:pPr>
            <w:r w:rsidRPr="00D47142">
              <w:rPr>
                <w:sz w:val="22"/>
                <w:szCs w:val="22"/>
              </w:rPr>
              <w:t>(официальное наименование городского округа (муниципального района)</w:t>
            </w:r>
          </w:p>
        </w:tc>
      </w:tr>
    </w:tbl>
    <w:p w:rsidR="0074511A" w:rsidRDefault="0074511A">
      <w:pPr>
        <w:spacing w:after="240" w:line="276" w:lineRule="auto"/>
        <w:divId w:val="1537622445"/>
      </w:pPr>
      <w:r>
        <w:br/>
      </w:r>
      <w:r>
        <w:br/>
      </w:r>
    </w:p>
    <w:p w:rsidR="0074511A" w:rsidRDefault="0074511A" w:rsidP="008E0719">
      <w:pPr>
        <w:spacing w:before="240" w:after="240" w:line="276" w:lineRule="auto"/>
        <w:jc w:val="center"/>
        <w:divId w:val="223301121"/>
      </w:pPr>
      <w:r>
        <w:rPr>
          <w:rStyle w:val="a3"/>
          <w:sz w:val="28"/>
          <w:szCs w:val="28"/>
        </w:rPr>
        <w:t xml:space="preserve">Промышленное производство </w:t>
      </w:r>
    </w:p>
    <w:p w:rsidR="0074511A" w:rsidRPr="001F1010" w:rsidRDefault="001F1010" w:rsidP="001F1010">
      <w:pPr>
        <w:spacing w:line="276" w:lineRule="auto"/>
        <w:jc w:val="both"/>
        <w:divId w:val="223301121"/>
      </w:pPr>
      <w:r w:rsidRPr="001F1010">
        <w:t>Темп роста номинальной заработной платы по крупным и средним предприятиям составил 110 %. Увеличился  на 20 % объём производства промышленной продукции. Увеличение объема произведенной продукции показали МУП «БТС» в производстве пара и горячей воды, ИП «Маевский В.Л.» в производстве кондитерских изделий и ДРСУ в производстве асфальтобетонных смесей.За 2021 год осуществлено 11 конкурентных закупок на сумму 64 млн. руб. За счет проведенных закупочных процедур снижение от начальной цены контрактов по результатам проведенных закупок составило 6 млн. руб.  В 2021 году район посетили 8216 человек (с учётом неорганизованных туристов), а это 104,3 % к 2020 году. Осуществляется реализация утверждённого плана мероприятий по развитию туризма в Бурлинском районе на 2021-2025 годы. Остается актуальной работа по привлечению инвесторов для работы туристско-рекреационной зоны на базе Бурлинской системы озёр.</w:t>
      </w:r>
    </w:p>
    <w:p w:rsidR="0074511A" w:rsidRDefault="0074511A" w:rsidP="008E0719">
      <w:pPr>
        <w:spacing w:before="240" w:after="240" w:line="276" w:lineRule="auto"/>
        <w:jc w:val="center"/>
        <w:divId w:val="1450320109"/>
      </w:pPr>
      <w:r>
        <w:rPr>
          <w:rStyle w:val="a3"/>
          <w:sz w:val="28"/>
          <w:szCs w:val="28"/>
        </w:rPr>
        <w:t xml:space="preserve">Сельскохозяйственное производство </w:t>
      </w:r>
    </w:p>
    <w:p w:rsidR="0074511A" w:rsidRPr="008E0719" w:rsidRDefault="00954C8F" w:rsidP="001F1010">
      <w:pPr>
        <w:spacing w:line="276" w:lineRule="auto"/>
        <w:jc w:val="both"/>
        <w:divId w:val="1450320109"/>
      </w:pPr>
      <w:r w:rsidRPr="008E0719">
        <w:t xml:space="preserve">Основой экономики района, его благосостояния, является сельскохозяйственное производство, которое кроме всего прочего несёт на себе большую социальную нагрузку, поскольку предприятия и аграрный бизнес обеспечивают местное население рабочими местами, снабжают производственной продукцией и при этом, зачастую помогают в решении вопросов местного значения в селах.В 2021 году на территории района продолжали работать 3 крупных сельхозпредприятия, 12 К(Ф)Х и ИП, внесённых в реестр сельхозтоваропроизводителей Алтайского края. К сожалению, по различным объективным и субъективным причинам сохранилась тенденция к сокращению количества занятых в сельскохозяйственном производстве.Численность работников аграрного сектора в 2021 году составила 299 человек, из них в К(Ф)Х и ИП – 22 человека. По сравнению с прошлым годом произошло сокращение работников на 54 человека, обеспеченность специалистами и руководителями составила73,4 %, что явно недостаточно. Дефицит кадров остро ощущается на всех производственных участках.Для нашей сельскохозяйственной отрасли в растениеводстве 2021 год выдался благоприятным, о чём свидетельствуют полученные  значительные  объемы продукции полеводства и финансовый результат.Урожай большинства ключевых для региона культур  оказался вполне достойным. Не помешали этому ни пандемия, не погодные условия.По сравнению с предыдущим годом с 45567 га до 46613 га (на 1046 га) увеличилась общая посевная площадь. В то же время, с 23527 га до 20106 га (на 3421 га) сократилась  площадь зерновых культур. С 8910 га до 16298 га (на 7388 га) – выросла площадь технических культур, таких как лен-кудряш и рапс.Благоприятные </w:t>
      </w:r>
      <w:r w:rsidRPr="008E0719">
        <w:lastRenderedPageBreak/>
        <w:t xml:space="preserve">погодные условия для второй половины вегетации и грамотное применение средств защиты растений во многом повлияли на уровень урожайности практически всех сельскохозяйственных культур.На площади 3334 га применялись минеральные удобрения в АО «ПЗ Бурлинский» и ИП Дайрабаев М.М.В итоге, объём  валового сбора зерна в 2021 году составил 14778 тонн  (в 2020 году – 8653 т), что на 71% больше уровня прошлого года при средней урожайности по району 9,1 ц с га, являющейся самой высокой с 2017 года.Полученные результаты в растениеводстве прошедшего года стали убедительным доказательством того, что при условии соблюдения всех условий технологического процесса, вдумчивом применении инновационных методов и агроприемов выращивания сельскохозяйственных культур можно и нужно получать гарантированные и высокие урожаи в наших суровых, степных условиях.Так в ИП Дайрабаев М.М. и  К(Ф)Х Кулинич А.В. получена урожайность зерновых культур 27,8 ц с га и 14,1 ц с га соответственно. Была проведена работа по сортосмене и сортообновлению семян. В районе в 2021 году было закуплено 600 тонн семян высшей репродукции зерновых и технологических культур, площадь посева составила 4800 га.В то же время, несоблюдение технологического процесса и отсутствие подготовленной земли для проведения посевных работ в ряде сельхозпредприятий, стали причиной урожайности зерновых ниже среднерайонного уровня в АО «ПЗ Бурлинский» - 6 ц с га,  ООО Агрострой – 8,5 ц с га, ООО Алтекс – 7 ц с га. Такое положение дел создало определённую напряжённость в обеспечении крупных хозяйств семенным материалом и зернофуражом для животноводства.Порадовал наших крестьян достаточно высокий для прошедшего года урожай и сбор подсолнечника, урожайность которого составила 8,0 ц с га (6,0 ц с га в прошлом году), а так же, новой для нас, но дорогой культуры – льна, которые при хороших закупочных ценах принесли весомый финансовый доход.Последствия предыдущих засушливых лет продолжает негативно отражаться на результатах работыПродолжалось снижение поголовья коров с 2084 голов в 2020 году до 1816 голов в 2021 году.  В то же время,  надой на 1 фуражную корову  увеличился  с 2504 кг до 2867 кг. Беспрецедентное решение приняло руководство предприятия ООО «Агрострой», переведя все поголовье дойного стада на подсосный метод выращивания телят и, в результате, прекратив производство молока.В связи с этим, соответственно, продолжилось сокращение объёмов реализации молока сельхозтоваропроизводителями к уровню прошлого года на 516 тонн (с 4067 т до 3551 т), а вот за счет увеличения закупочной цены этого продукта на 6 рублей за 1 кг, увеличилась выручка от его реализации на сумму более 9 млн. рублей.Совокупный объем государственной поддержки сельскохозяйственных  товаропроизводителей сохранился на уровне 2020 года и составил  в целом 109 млн. рублей  из федерального и краевого бюджетов. Это стало серьезной финансовой поддержкой для трех хозяйств, выполнивших все условия субсидирования.В сложных условиях нынешней рыночной экономики труженики аграрного сектора предпринимают все возможные меры для сохранения и укрепления своего производства, стараются  принимать экономически выгодные и эффективные решения.Определённым подспорьем стало увеличение уровня оплаты труда по отрасли в районе на 111 % по сравнению с прошлым годом, который составил в среднем 20267 рублей.За год в районе аграрная отрасль в районе пополнилась 22 единицами новой техники и оборудования на сумму 53,6 млн. рублей.До 21 тысячи га  увеличилась  площадь обработки паров и зяби, что является прекрасным заделом для формирования </w:t>
      </w:r>
      <w:r w:rsidRPr="008E0719">
        <w:lastRenderedPageBreak/>
        <w:t>урожая в 2022 году.В 2021 году вовлечено в сельскохозяйственный оборот более 20 тыс. га земель сельхозназначения в районе.Продолжаются подготовительные работы для аренды много лет пустовавших земель совхоза «Мирный» площадью 23 тыс. га крупным сельскохозяйственным предприятием ООО «Сибирский АНГУС» для развития животноводческой отрасли.Позитивным и заметным событием в прошлом году стал приход нового собственника в ООО «Бурлинский элеватор», который в настоящее время успешно функционирует, обеспечив работой более 50 человек, своевременно и в полном объеме выполняет обязательства  по оплате труда работников, налоговым и страховым отчислениям. Нынешнее руководство этого крупного предприятия планирует дальнейшее серьезное развитие производственной и социальной базы, открыто для  партнерского сотрудничества.Повышение уровня и объёма сельскохозяйственного производства в районе придадут дополнительный импульс для его социально-экономического развития  и создания необходимых комфортных условий для проживания наших людей.</w:t>
      </w:r>
    </w:p>
    <w:p w:rsidR="0074511A" w:rsidRDefault="0074511A" w:rsidP="008E0719">
      <w:pPr>
        <w:spacing w:before="240" w:after="240" w:line="276" w:lineRule="auto"/>
        <w:jc w:val="center"/>
        <w:divId w:val="1006633197"/>
      </w:pPr>
      <w:r>
        <w:rPr>
          <w:rStyle w:val="a3"/>
          <w:sz w:val="28"/>
          <w:szCs w:val="28"/>
        </w:rPr>
        <w:t xml:space="preserve">Реализация инвестиционных проектов на территории муниципального района </w:t>
      </w:r>
    </w:p>
    <w:p w:rsidR="0074511A" w:rsidRPr="008E0719" w:rsidRDefault="00954C8F" w:rsidP="001F1010">
      <w:pPr>
        <w:spacing w:line="276" w:lineRule="auto"/>
        <w:jc w:val="both"/>
        <w:divId w:val="1006633197"/>
      </w:pPr>
      <w:r w:rsidRPr="00954C8F">
        <w:t>На территории района успешно реализуются 11 государственных и 21 муниципальных программ с общим объёмом финансирования более 200 млн. рублей.В 2021 году была продолжена работа по строительству, реконструкции и ремонту социально-значимых объектов на территории района, это: - Ремонт тротуара по улице Ленина в с.Бурла в рамках грантовой поддержки - 2 016 141,0 руб.;- Капитальный ремонт теплотрассы в Бурле - 18 715300 руб.;- Обустройство детской площадки в Бурл - 3 535 000,0 руб.;- На ремонт улично-дорожной сети в Бурле было направлено - 3 600 456,0 руб.В 2021 году начата разработка проектно-сметной документации на строительство пристройки к детскому саду в с.Бурла и капитальный ремонт существующих зданий. Завершение работ и получение заключений экспертизы планируется в середине 2022 года.В рамках федеральной целевой программе «Устойчивое развитие сельских территорий» обеспечена жильем 1 семья на сумму 1 100,0 тыс. рублей.По прежнему проблемами остаются: острый дефицит бюджетных средств для обеспечения подготовки проектно-сметной документации и обеспечения долевого участия в проектах и программах. Необходимо продолжить работу по улучшению состояния дорожной сети, созданию новых рабочих мест, росту и модернизации производства, развитию структуры учреждений социальной сферы, предметно заниматься благоустройством. К сожалению, так в районе пока не реализованы вопросы организации переработки продукции, рыбохозяйственной деятельности, медленно идёт процесс модернизации в сельском хозяйстве. А необходимые резервы для этого есть.</w:t>
      </w:r>
    </w:p>
    <w:p w:rsidR="0074511A" w:rsidRDefault="0074511A" w:rsidP="008E0719">
      <w:pPr>
        <w:spacing w:before="240" w:after="240" w:line="276" w:lineRule="auto"/>
        <w:jc w:val="center"/>
        <w:divId w:val="672149918"/>
      </w:pPr>
      <w:r>
        <w:rPr>
          <w:rStyle w:val="a3"/>
          <w:sz w:val="28"/>
          <w:szCs w:val="28"/>
        </w:rPr>
        <w:t xml:space="preserve">Состояние малого и среднего предпринимательства, меры государственной поддержки малого и среднего предпринимательства </w:t>
      </w:r>
    </w:p>
    <w:p w:rsidR="0074511A" w:rsidRPr="001F1010" w:rsidRDefault="001F1010" w:rsidP="001F1010">
      <w:pPr>
        <w:spacing w:line="276" w:lineRule="auto"/>
        <w:jc w:val="both"/>
        <w:divId w:val="672149918"/>
      </w:pPr>
      <w:r w:rsidRPr="001F1010">
        <w:t xml:space="preserve">Важнейшим фактором и перспективным направлением в улучшении социально-экономического развития района является укрепление малого бизнеса. В районе действует 119 единиц (АППГ-121) субъектов среднего и малого предпринимательства, в т.ч., 14 юридических лиц и 105 индивидуальных предпринимателей. Работало 65 </w:t>
      </w:r>
      <w:r w:rsidRPr="001F1010">
        <w:lastRenderedPageBreak/>
        <w:t xml:space="preserve">магазинов (64 – 2020 г.), 3 предприятия общественного питания, 1 универсальная ярмарка.В целях улучшения предпринимательского климата на территории района,   расширения доступа субъектов предпринимательства к финансово-кредитным ресурсам, заключено Соглашение о взаимодействии по развитию муниципальной инфраструктуры поддержки малого и среднего предпринимательства с НО «Алтайский фонд развития малого и среднего предпринимательства».Утверждена и реализуется муниципальная программа «Развитие малого и среднего предпринимательства в Бурлинском районе на 2021-2025 годы», создан и осуществляет свою деятельность информационно-консультационный центр для поддержки предпринимательства (ИКЦ). В рамках его работы в 2021 году было оказано консультационных, информационных и образовательных услуг  775 субъектам малого и среднего предпринимательства. Резкое увеличение количества консультационных услуг связано с тесным и непрерывным взаимодействием специалиста ИКЦ с бизнесом в период пандемии.  Реализация мероприятий муниципальной программы по развитию малого и среднего предпринимательства способствовала созданию 106 рабочих мест и сохранению 674 действующих рабочих места.Одним из главных инструментов для роста и стабилизации экономики района, повышения благосостояния района, обеспечения эффективной деятельности социальной сферы является активное участие района в реализации краевых федеральных и муниципальных программ. Единственным проблемным моментом, несколько сдерживающим этот созидательный процесс, пока остается  дефицит и ограниченность муниципальных финансовых средств для обеспечения долевого участия в проектах и программах.В тоже время, одним из значимых и эффективных инструментов в решении  социально-значимых местных проблем призвано стать активное участие сельсоветов в подготовке и реализации проектов общественных инициатив, позволяющих с учётом мнения и финансовых возможностей местного населения определить и исполнить наиболее востребованный комплекс мероприятий на территории района, села, при конкретной государственной финансовой поддержке.Необходимо улучшение состояния дорожной сети, содействие созданию новых рабочих мест, росту производства, развитию сферы услуг, формирование новых подходов к организации благоустройства.До сих пор в районе не реализованы вопросы переработки продукции, не заработал цех по первичной переработке мяса, нет убойного цеха, продолжается процедура конкурсного производства значимого для района предприятия «Бурлинский рыбхоз». А это огромный резерв для подпитки экономики района, и он далеко не единственный.Единственным проблемным моментом, несколько сдерживающим этот созидательный процесс, пока остается  дефицит и ограниченность муниципальных финансовых средств  для обеспечения долевого участия в проектах и программах.В тоже время, одним из значимых и эффективных инструментов в решении  социально-значимых местных проблем призвано стать активное участие сельсоветов в подготовке и реализации проектов общественных инициатив, позволяющих с учётом мнения и финансовых возможностей местного населения определить и исполнить наиболее востребованный комплекс мероприятий на территории района, села, при конкретной государственной финансовой поддержке.Необходимо улучшение состояния дорожной сети, содействие созданию новых рабочих мест, росту производства, развитию сферы услуг, формирование новых подходов к организации благоустройства.До сих пор в районе не реализованы вопросы переработки продукции, не заработал цех по </w:t>
      </w:r>
      <w:r w:rsidRPr="001F1010">
        <w:lastRenderedPageBreak/>
        <w:t>первичной переработке мяса, нет убойного цеха, продолжается процедура конкурсного производства значимого для района предприятия «Бурлинский рыбхоз». А это огромный резерв для подпитки экономики района, и он далеко не единственный.    </w:t>
      </w:r>
    </w:p>
    <w:p w:rsidR="0074511A" w:rsidRDefault="0074511A" w:rsidP="008E0719">
      <w:pPr>
        <w:spacing w:before="240" w:after="240" w:line="276" w:lineRule="auto"/>
        <w:jc w:val="center"/>
        <w:divId w:val="1356543834"/>
      </w:pPr>
      <w:r>
        <w:rPr>
          <w:rStyle w:val="a3"/>
          <w:sz w:val="28"/>
          <w:szCs w:val="28"/>
        </w:rPr>
        <w:t xml:space="preserve">Ситуация на рынке труда </w:t>
      </w:r>
    </w:p>
    <w:p w:rsidR="0074511A" w:rsidRPr="008E0719" w:rsidRDefault="00954C8F" w:rsidP="001F1010">
      <w:pPr>
        <w:spacing w:line="276" w:lineRule="auto"/>
        <w:jc w:val="both"/>
        <w:divId w:val="1356543834"/>
      </w:pPr>
      <w:r w:rsidRPr="008E0719">
        <w:t>В районе действует муниципальная программа «Улучшение условий и охраны труда в Бурлинском районе на 2021-2025 годы».Было проведено 4 заседания районной межведомственной комиссии по охране труда, на которых были рассмотрены 17 вопросов.Специалистом отдела  оказывается методическая помощь, в том числе предприятиям сельского хозяйства, по разработке и подбору необходимых документов (инструкции, методическая литература и т.д.).99 руководителей и специалистов по охране труда имеют действующие удостоверения по охране труда и пожарной безопасности, что составило 81,8 %.В период 2021 года случаев производственного травматизма не зарегистрировано. Касаясь вопросов социального партнерства можно отметить, что в районе действует Соглашение между работодателями, профсоюзами и исполнительными органами местного самоуправления Бурлинского района на 2020-2022 годы. В целом условия Соглашения выполняются, достигаются поставленные цели.Численность трудоспособного населения составила 4619 человек, занятых в экономике – 3575 человек.Согласно индикативным показателям число трудоустроенных граждан на 31.12.2021 года составило  455 человек (117,6%),  (по плану на 2021 год - 387 человек).Уровень официально зарегистрированной безработицы в районе  составил 3,3 %. Численность инвалидов трудоспособного возраста, занятых трудовой деятельностью (без учета детей-инвалидов от 16 до 18 лет) в 2021 году составило 55 человек (61,8%), (по плану на 2021 год - 89 человек). В том числе на данный период времени было трудоустроено 15 человек (46,9%) (по плану на 2021 год – 32 человека). Численность трудоустроенных граждан, с которыми легализованы трудовые отношения на 31.12.2021 год составило 125 человек (89,3%) (по плану на 2021 год – 140 человек).</w:t>
      </w:r>
    </w:p>
    <w:p w:rsidR="0074511A" w:rsidRDefault="0074511A" w:rsidP="008E0719">
      <w:pPr>
        <w:spacing w:before="240" w:after="240" w:line="276" w:lineRule="auto"/>
        <w:jc w:val="center"/>
        <w:divId w:val="1611469857"/>
      </w:pPr>
      <w:r>
        <w:rPr>
          <w:rStyle w:val="a3"/>
          <w:sz w:val="28"/>
          <w:szCs w:val="28"/>
        </w:rPr>
        <w:t xml:space="preserve">Уровень жизни населения </w:t>
      </w:r>
    </w:p>
    <w:p w:rsidR="0074511A" w:rsidRPr="001F1010" w:rsidRDefault="001F1010" w:rsidP="001F1010">
      <w:pPr>
        <w:spacing w:line="276" w:lineRule="auto"/>
        <w:jc w:val="both"/>
        <w:divId w:val="1611469857"/>
      </w:pPr>
      <w:r w:rsidRPr="001F1010">
        <w:t>За 2021 год общая сумма денежных доходов населения района увеличилась на 2 % к уровню прошлого года и составила 1207016,6 тыс. руб. Расходы населения сложились в сумме 1052230,5 тыс. рублей, увеличились к уровню 2020 года на 2,7 %. </w:t>
      </w:r>
    </w:p>
    <w:p w:rsidR="0074511A" w:rsidRDefault="0074511A" w:rsidP="008E0719">
      <w:pPr>
        <w:spacing w:before="240" w:after="240" w:line="276" w:lineRule="auto"/>
        <w:jc w:val="center"/>
        <w:divId w:val="1437944105"/>
      </w:pPr>
      <w:r>
        <w:rPr>
          <w:rStyle w:val="a3"/>
          <w:sz w:val="28"/>
          <w:szCs w:val="28"/>
        </w:rPr>
        <w:t xml:space="preserve">Состояние местных бюджетов </w:t>
      </w:r>
    </w:p>
    <w:p w:rsidR="0074511A" w:rsidRPr="008E0719" w:rsidRDefault="00954C8F" w:rsidP="001F1010">
      <w:pPr>
        <w:spacing w:line="276" w:lineRule="auto"/>
        <w:jc w:val="both"/>
        <w:divId w:val="1437944105"/>
      </w:pPr>
      <w:r w:rsidRPr="008E0719">
        <w:t xml:space="preserve">Главными задачами Администрации района в области бюджетной политики оставались:- обеспечение роста и  наполнения доходной базы местного бюджета в соответствии с утверждёнными параметрами, необходимой для успешного исполнения многочисленных полномочий по решению вопросов местного значения;- рациональное и эффективное использование бюджетных средств, включая привлечение краевых и федеральных инвестиций, позволяющее в то же время обеспечить финансирование расходных обязательств в полном объёме;- снижение и погашение имеющейся кредиторской задолженности муниципалитетов.Принятый бюджет района 2021 года был сформирован со значительным дефицитом средств, что позволяло удовлетворить </w:t>
      </w:r>
      <w:r w:rsidRPr="008E0719">
        <w:lastRenderedPageBreak/>
        <w:t xml:space="preserve">потребности по расходам лишь на 76 %. Однако, несмотря на имеющиеся объективные трудности 2021 года, Администрации района удалось обеспечить исполнение не только планируемых параметров консолидированного бюджета, но и получить дополнительные доходы в сумме 823,4 тыс. рублей, добившись при этом положительной динамики.Сумма доходов      консолидированного бюджета составила 310324,7 тыс. рублей. При этом план по сбору собственных доходов был выполнен на 101,1 %, а их сумма составила 74250,0 тыс. рублей, что несколько меньше, чем в прошлом году. В консолидированный бюджет района было получено 235902,9 тыс. рублей безвозмездных поступлений из краевого бюджета, в том числе 58895,2 тыс. рублей дотаций, что на 2006,4 тыс. рублей больше, чем в предыдущем году.В результате в общем объёме доходов консолидированного бюджета доля безвозмездных поступлений из краевого бюджета составила в отчётном году 76 %, доля собственных доходов – 24 %.За последние 6 лет объём собственных доходов в консолидированный бюджет района вырос в 1,52 раза, если в 2016 году их объём составлял 48815,3 тыс. рублей, то в 2020 году он вырос до 74250,0 тыс. рублей.Расходная часть консолидированного бюджета района исполнялась в соответствии с утверждёнными параметрами и корректировками при поступлении дополнительных доходов. Привлечение дополнительных средств,  финансовая поддержка Правительства Алтайского края и рациональное использование финансовых ресурсов позволили не только справиться с исполнением необходимых расходных обязательств, но и до минимума сократить имеющуюся значительную кредиторскую задолженность муниципальных образований района и сельсоветов, и в первую очередь – за потреблённые энергоресурсы.Кредиторская задолженность муниципального района и сельсоветов на 01.01.2021 года составляла 32246,7 тыс. рублей, а по состоянию на 01.01.2022 года её величина сократилась до 29534,3 тыс. рублей, из которой  20946,7 тыс. рублей - долги за резервный уголь. Было заключено соглашение о рассрочке платежей, сумма в размере 2464,3 тыс. рублей погашена в декабре 2021 года. На 01.01.2021 года кредиторская задолженность ОАО «Кузбассразрезуголь» составляла 5590 тыс. рублей, было оплачено 12 тыс. рублей. В этом же году поступил исполнительный лист на сумму неустойки в размере 899.8 тыс. рублей, в конце года было оплачено 210 тыс. рублей. В результате фактическая кредиторская задолженность ОАО «Кузбассразрезуголь» составила 6268,3 тыс. рублей. Есть реальные перспективы закрыть и эту задолженность.Расходы консолидированного бюджета были исполнены в полном объёме на сумму 306620,8 тыс. рублей, в том числе расходы бюджета муниципального района – на сумму 294593,8 тыс. рублей.Районный бюджет в 2021 году традиционно был социально ориентированным. Социально-значимые расходы составили 210740,2 тыс. рублей или 68,7 %, в том числе 56,3 % средств направлены на образование, 10,1 % - на культуру, 2,3 % - социальную политику, 0,1 % - на развитие спорта и физической культуры.В рамках исполнения майских Указов Президента РФ от 2017 года в части повышения уровня заработной платы отдельным категориям работников муниципальных учреждений за 2021 год целевые показатели в основном достигнуты.Таким образом, размер средней ежемесячной заработной платы за 2021 год в системе образования составил:- в дошкольном образовании – 25102 рубля;- в основном и среднем общем образовании – 25442 рубля, в том числе преподавателей 25569 рублей;- в дополнительном образовании – 24454 рубля.В сфере культуры:- МФКЦ – 21707 рублей;- ДШИ – 29677 рублей.Выросли и расходы на оплату труда </w:t>
      </w:r>
      <w:r w:rsidRPr="008E0719">
        <w:lastRenderedPageBreak/>
        <w:t>работников бюджетной сферы в целом, объём которых составил 185074,5 тыс. рублей или 60,4 % от общего объёма расходов консолидированного бюджета района. По сравнению с прошлым отчётным периодом фонд оплаты труда в районе увеличился на 13569,9 тыс. рублей или на 35,9 %.На социальные выплаты жителям района (пенсии, пособия, компенсации, субсидии на приобретение жилья) направлено 7150,7 . рублей. Расходы по проведению выборов депутатов всех уровней составили 197,0 тыс. рублей.Администрацией района в 2021 году будет продолжена целенаправленная работа по дальнейшему росту темпов поступления собственных доходов путём эффективного использования имеющихся земельных ресурсов и муниципального имущества, привлечения дополнительных средств посредством участия в краевых и федеральных программах, оптимизации нерациональных расходов.</w:t>
      </w:r>
    </w:p>
    <w:p w:rsidR="0074511A" w:rsidRDefault="0074511A" w:rsidP="008E0719">
      <w:pPr>
        <w:spacing w:before="240" w:after="240" w:line="276" w:lineRule="auto"/>
        <w:jc w:val="center"/>
        <w:divId w:val="1904366202"/>
      </w:pPr>
      <w:r>
        <w:rPr>
          <w:rStyle w:val="a3"/>
          <w:sz w:val="28"/>
          <w:szCs w:val="28"/>
        </w:rPr>
        <w:t xml:space="preserve">Жилищно-коммунальное хозяйство </w:t>
      </w:r>
    </w:p>
    <w:p w:rsidR="0074511A" w:rsidRPr="001F1010" w:rsidRDefault="001F1010" w:rsidP="001F1010">
      <w:pPr>
        <w:spacing w:line="276" w:lineRule="auto"/>
        <w:jc w:val="both"/>
        <w:divId w:val="1904366202"/>
        <w:rPr>
          <w:lang w:val="en-US"/>
        </w:rPr>
      </w:pPr>
      <w:r>
        <w:rPr>
          <w:lang w:val="en-US"/>
        </w:rPr>
        <w:t xml:space="preserve">Основную нагрузку по подготовке и организации всего комплекса программы строительства, ремонтов и реконструкций объектов социальной сферы и жилищно-коммунального хозяйства  несет  отдел архитектуры и градостроительства Администрации района во  взаимодействии с отделом жилищно-коммунального хозяйства и другими уполномоченными структурами. Благодаря их активной деятельности было обеспеченно квалифицированное и трудоёмкое сопровождение проектно-сметных работ, координация и контроль исполнения строительно-монтажных работ, осуществляемых подрядными организациями в соответствии с муниципальными контрактами.Главными ориентирами в этой деятельности служили: повышение эффективности и надёжности функционирования объектов жилищно-коммунального хозяйства, социальной сферы, уровень благоустройства, создание комфортных условий для проживания наших граждан.В целом за отчетный период в рамках реализации краевых и муниципальных программ по укреплению материально-технической базы бюджетной и коммунальной инфраструктуры, благоустройству Администрацией района привлечено и освоено  более 30 млн. рублей.В  том числе: - 18715 тыс. рублей - на капитальный ремонт теплотрассы в Бурле;- 3535 тыс. рублей - на обустройство на обустройство детской площадки в Бурле;- 2500 тыс. рублей – на техническое перевооружение котельных;- 692 тыс. рублей – на капитальный ремонт клуба в с. Новоандреевка;- 600 тыс. рублей – на капитальный ремонт клуба в с. Лесное;- 500 тыс. рублей – на капитальный ремонт клуба в с. Притыка;- 280 тыс. рублей – на устройство сценической площадки в с. Новопесчаное;- 251 тыс. рублей – на устройство детской площадки в с. Новосельское;- 465 тыс. рублей – на ремонт пищеблока и установку охранной пожарной сигнализации в Бурлинской средней школе;- 300 тыс. рублей – на ремонт водопровода в с. Новопесчаное;- 150 тыс. рублей – на ремонт системы водо- и теплоснабжения в Партизанском сельсовете;- 200 тыс. рублей – на ремонт уличного освещения в с. Бурла;- 1309 тыс. рублей – на ремонт кровли здания Администрации района;- 2016 тыс. рублей были направлены на реализацию  проекта местных инициатив в рамках грантовой поддержки по капитальному ремонту тротуара на улице Ленина в  центре Бурлы. Непосредственным организатором и исполнителем проекта  выступила Администрация района.Работа по привлечению финансовых средств путём участия сельских поселений в проектах общественных инициатив для повышения уровня благоустройства и оборудования социальных объектов в районе требует </w:t>
      </w:r>
      <w:r>
        <w:rPr>
          <w:lang w:val="en-US"/>
        </w:rPr>
        <w:lastRenderedPageBreak/>
        <w:t xml:space="preserve">сосредоточения усилий администраций сельсоветов и депутатского корпуса всех уровней.Традиционное участие района в краевой программе технического перевооружения ЖКХ позволило своевременно и в полном объёме провести капитальный ремонт теплотрассы в селе Бурла на участках обеспечивающих теплом важнейшие социальные объекты: здание детского сада по улице Мира, офисные здания и многоквартирные жилые дома.Достаточно большой объём работы за прошедший период выполнен в дорожном хозяйстве района.Протяжённость межрегиональных дорог на территории района, которые обслуживает Бурлинский участок Завьяловского ДРСУ, составляет 251 км. В течение года было направлено на их содержание и ремонт 65,9 млн. рублей, в том числе, на ремонт участка дорожного полотна в Бурле по улице Комсомольской и выезда в сторону с. Гусиная Ляга  протяжённостью 2,92 км – 25,8 млн. рублей.Проводились также ремонтные работы по укреплению дорожного полотна щебнем в районе с. Волчий Ракит  на участках межрегиональной дороги  протяженностью 1,5 км, на которые израсходовано 5,95 млн. рублей.Осознавая нарастающую в нынешних условиях потребность обеспечения доступности граждан для решения своих жизненных проблем, Администрация района прилагает максимум усилий для привлечения внимания  Минтранса и Алтайавтодора к  необходимости коренного улучшения технического состояния межрегиональных автодорог в направлении Славгорода, Карасука, Подсосново.Получение районом нового пассажирского микроавтобуса придало новый импульс для решения проблемного вопроса по транспортному обслуживанию населения  внутри района. Начата необходимая работа по формированию пассажирских  маршрутов и определению механизма для финансового и технического обеспечения перевозок в условиях потенциальной убыточности этого вида деятельности.Полномочия по содержанию 208,1 км муниципальных дорог исполняли Администрация района и все администрации сельсоветов, за исключением Ореховского сельсовета. В 2021 году на содержание муниципальных автодорог было направлено 5,1 млн. рублей средств дорожного фонда, что далеко недостаточно для обеспечения выполнения действующих расчетных нормативов и при существенном росте затрат в условиях повышения цен на расходные строительные материалы и услуги спецтехники. Из них,  на ремонте улично-дорожной сети в районном центре Бурла освоено 3,6 млн. рублей, в т.ч. 1,05 млн. средств  краевого бюджета и 2,55 млн. рублей местного бюджета.В результате капитально отремонтированы участки дорожного полотна улицы Восточная и въезда в с. Бурла.Сельским муниципальным образованиях в рамках исполнения ими полномочий направлено на содержание дорог 1,51 млн. рублей.Безусловно, для успешного решения вопросов содержания автодорог в населённых пунктах, в том числе и в зимний период, муниципальным властям необходимо в рамках делового сотрудничества привлекать для этих целей всех хозяйствующих субъектов, располагающих спецтехникой, и кроме того, приобретение 1-2 единиц специальной дорожной техники для муниципальных нужд.Администрацией района своевременно оформлена заявка в Минстрой Алтайского края для возможного получения в 2022 году автогрейдера в рамках краевой целевой программы.Кроме всего прочего Администрацией района осуществлялась плановая работа по подготовке нормативной и документальной базы для реализации программы ремонтов и технического перевооружения в 2022 году, которая уже дала положительные результаты.Подготовлена необходимая техническая документация с экспертизой и в </w:t>
      </w:r>
      <w:r>
        <w:rPr>
          <w:lang w:val="en-US"/>
        </w:rPr>
        <w:lastRenderedPageBreak/>
        <w:t xml:space="preserve">стадии решения находится вопрос по проведению капитального ремонта заключительного участка тепловых сетей  в районном центре – стоимостью 16 млн. рублей и капитального ремонта теплотрасс в с. Михайловка - на сумму 28 млн. рублей .Не произведенный в 2021 году по вине подрядчика « Востокбурвод» комплекс работ по оборудованию водозаборного сооружения со скважиной в селе Михайловка на 17 млн. рублей планируется реализовать в полном объеме в текущем году. Вопрос об этом на уровне Минстроя Алтайского края решен, с указанным подрядчиком ведется активная претензионная работа.Подготовлены и направлены в краевую специализированную комиссию  необходимые документы по проведению открытого аукциона по выбору подрядной организации для масштабного технического перевооружения  котельной Бурлинской средней школы в Бурле, сметной стоимостью 25,5 млн. рублей. Большой  объем работ на этом важнейшем объекте жизнеобеспечения предстоит выполнить до начала отопительного периода.Благодаря оперативной подготовке и своевременному направлению необходимой технической документации в краевые структуры, удалось добиться включения в федеральную целевую программу проведение в 2022 году объемного капитального ремонта зданий Михайловской средней общеобразовательной школы сметной стоимостью 55 млн. рублей, включая интернат и поставки школьного оборудования. Строительно- монтажные работы начнутся после проведения в установленном порядке конкурсных процедур по выбору подрядчика.Администрацией района активно ведется работа по подготовке проктно-сметной документации для  осуществления аналогичных ремонтных работ зданий базовой Бурлинской средней школы в 2023 году.К середине 2022 года будет завершена начатая в 2021 году работа по  подготовке проектно-сметной документации для строительства и капитального ремонта зданий  детсада «Одуванчик» в райцентре, включая получение экспертного заключения. В результате снижения цены по итогам конкурса стоимость выполненных проектных работ в 2021 году составила 251,3 тыс. рублей, предусмотрено в 2022 году 2,685 тыс. рублей.В связи с необходимостью неотложного выполнения  действующего законодательства в сфере градостроительства  осуществлялись  необходимые меры по формированию и приведению в соответствие с требованиями правоустанавливающей градостроительной документации, включая постановку на кадастровый учет территориальных зон и внесение изменений в правила застройки землепользования. На эти цели направлено 445 тысяч рублей собственных бюджетных средств.На начало 2022 года в районе в стадии строительства находится 4 индивидуальных жилых дома, в прошедшем году жилье в эксплуатацию не сдавалось.В рамках федеральной целевой программы «Устойчивое развитие сельских территорий» обеспечена жильём 1 семья на сумму 1100,0 тыс. рублейБлагодаря системной  и настойчивой работе Администрации района и ряда сельских поселений по укреплению и совершенствованию деятельности в сфере жилищно-коммунального хозяйства, за последние годы удалось добиться  вполне определённых положительных результатов в организации устойчивого тепло- и водоснабжения потребителей района.Не стал исключением и 2021 год, в котором из всех источников финансирования на подготовку к работе в зимних условиях было направлено более 20 млн. рублей.При финансовой поддержке Администрации района базовое теплоснабжающее предприятие МУП «Бурлинские тепловые сети», удалось не только своевременно и в полном объёме подготовить тепловое хозяйство к прохождению отопительного периода, но и создать необходимый аварийный запас  котельного, насосного и другого технологического </w:t>
      </w:r>
      <w:r>
        <w:rPr>
          <w:lang w:val="en-US"/>
        </w:rPr>
        <w:lastRenderedPageBreak/>
        <w:t xml:space="preserve">оборудования для оперативного использования в случае возникновения нештатной ситуации.В очередной раз районной властью при поддержке краевого управления жилищно-коммунального хозяйства на эти цели было направлено 2,5 млн. рублей краевых бюджетных средств. В результате приобретены 3 водогрейных  котла КВР-0,8, 9 экономичных сетевых насосов, 4 дымососа и 100 единиц мелкого технологического оборудования.В рамках краевой адресной инвестиционной программы  подрядной организацией в 2021 году проведен капитальный ремонт наружных тепловых сетей на очередном участке теплотрассы в районном центре Бурла стоимостью более 18 млн. рублей.  При этом заменен 1261 метр ветхой теплотрассы, оборудованы тепловые камеры  и смотровые колодцы.В полном объёме к прохождению отопительного сезона были подготовлены все без исключения объекты – абоненты бюджетной сферы, для чего направлено более 500 тыс. рублей.Своевременная подготовка 13 ведомственных котельных  и всего теплового хозяйства района, сформированный нормативный запас угля,  позволили муниципалитету уже в очередной раз, устранив 32 требования контролирующих федеральных структур получить паспорт готовности муниципального образования к отопительному периоду 2021-2022 г.г. и уже с 22 сентября 2022 года начать новый отопительный сезон.Несмотря на определенную стабильность обстановки в коммунальной сфере, практически все наши муниципальные унитарные предприятия, к сожалению, являются убыточными. МУП Бурлинские тепловые сети  по сотоянию на 01.01.2022 года имело задолженность по налогам и страховым платежам более 13 млн. рублей.Главной проблемой потенциальной убыточности хозяйствующих субъектов в сфере жилищно-коммунального хозяйства является несовершенство действующей тарифной системы, не позволяющей гибко влиять на величину утвержденного тарифа в связи с частым и резким скачком в сторону роста составляющих его затрат: - на электроэнергию, уголь, горюче-смазочные материалы, выплату заработной платы и др.Кроме того, действующий утвержденный тариф не предусматривает в полном объеме некоторые фактические расходы предприятия.Оптимальным  решением  этой проблемы могло  бы стать бюджетное субсидирование  выпадающих доходов коммунального предприятия. Однако, этот вопрос требует определенных финансовых затрат и механизма правового регулирования, в том числе , и на уровне субъекта Федерации.Большим подспорьем в финансово-хозяйственной деятельности теплоснабжающего предприятия района стала организация работы ведомственного железнодорожного угольного тупика, обеспечившего приём и переработку всего объёма контрактного угля, реализацию угля населению, что способствовало привлечению дополнительных финансовых средств для поддержки экономики  муниципального предприятия. МУП  Бурлинские коммунальные сети  в 2021 году реализовано населению 869 тонн угля. Своевременно заключённый контракт после проведённого аукциона с поставщиком ООО «Алтайская топливная компания» в количестве 4304 тонны на сумму 14,086 млн. рублей позволил обеспечить ритмичные поставки качественного угля в район и стабильную работы системы теплоснабжения.Благополучному прохождению отопительного сезона способствовала и масштабная работа по погашению объёмной кредиторской задолженности муниципальных организаций за потреблённые энергоресурсы,  которая по состоянию на 01.01.2021 года составляла 31,7 млн. рублей, а на 01.01.2022 года осталась в сумме 27,2 млн. рублей.  Из них  20,9 млн. рублей составляет задолженность перед Минстроем Алтайского края за поставленный  резервный уголь, погашение </w:t>
      </w:r>
      <w:r>
        <w:rPr>
          <w:lang w:val="en-US"/>
        </w:rPr>
        <w:lastRenderedPageBreak/>
        <w:t>которой происходит в рассрочку по установленному графику. Переходящая с 2014 года задолженность  района за поставленный уголь перед ОАО Кузбассразрезуголь в сумме 6,3 млн. рублей по согласованию сторон также будет погашаться по частям в течение трех лет.В  рамках исполнения полномочий по водоснабжению Администрацией района осуществляется конкретная организаторская работа в части оказания финансовой и материальной поддержки сельсоветов, техническому перевооружению и содержанию проблемного водопроводного хозяйства.Практически все водопроводные сети и сооружения за исключением районного центра и села Партизанское находятся в критическом состоянии по причине многолетнего физического износа и требуют постоянного внимания и  ремонта.Следует отметить, что рост эффективности  направляемого  объема финансовой и материальной поддержки Администрации района для решения местных проблем жизнеобеспечения, во многом зависит от инициативы руководителя сельского поселенияВ прошедшем году на текущий ремонт и эксплуатацию водопроводов сельсоветам в рамках переданных полномочий направлено 80 тыс. рублей.Помимо этого, в связи с неотложной необходимостью профинансированы мероприятия по текущему и капитальному ремонту систем водоснабжения, оформления технической документации  на сумму 872,0 тыс. рублей:- ремонт водопроводных сетей в селах Партизанского сельсовета (150,0 тыс. рублей)- ремонт водопроводных сооружений в с. Орехово (290,9 тыс. рублей);- ремонт участка  водопроводной сети в с. Новопесчаное (300 тыс. рублей);-техническое оснащение водозаборного сооружения в с.Устьянка (31,1тыс. рублей).- оформление технической документации для водопровода в с.Новосельское (100 тыс. рублей).В текущем году будет продолжена работа по коренному улучшению состояния водопроводного хозяйства в ряде сёл  района, включая бурение скважины с устройством водозаборного сооружения в с. Михайловка;- подготовку сметной документации для ремонта водозаборного сооружения  в с. Новопесчаное;- ремонт участков водопроводов в ряде населённых пунктов;- оформление правоустанавливающей документации и определение хозяйствующих субъектов для эксплуатации водопроводов и др.Предстоит основательно подойти к решению актуального вопроса организации деятельности специализированной службы по благоустройству и коммунальному хозяйству в районном центре, предусмотрев ее определенное финансовое обеспечение и оснащение  специальной техникой.Начало уже положено. По решению Правительства Алтайского края Минстроем нашему муниципальному образованию выделен современный экскаватор-погрузчик стоимостью 5,3 млн. рублей.Много вопросов у нашего населения вызывают проблемы внедрения на территориях сельских поселений далёкой от совершенства системы сбора твёрдых коммунальных отходов. Ситуация усугубляется отсутствием финансовых средств в муниципалитетах для обустройства контейнерных площадок, сложности при соблюдении жёстких требований по их установке, нежелание регионального оператора учитывать мнение населения о порядке сбора мусора.К сожалению и неурегулированность ряда принципиальных вопросов, касающихся этой тематики на уровне субъекта федерации, не позволяет продуктивно решать возникшие проблемы.В тоже время, сдвигать с мёртвой точки эту проблему необходимо, тем более, что краевыми властями в 2021 году направлена очередная сумма средств для приобретения мусорных контейнеров.</w:t>
      </w:r>
    </w:p>
    <w:p w:rsidR="0074511A" w:rsidRDefault="0074511A" w:rsidP="008E0719">
      <w:pPr>
        <w:spacing w:before="240" w:after="240" w:line="276" w:lineRule="auto"/>
        <w:jc w:val="center"/>
        <w:divId w:val="1972859180"/>
      </w:pPr>
      <w:r>
        <w:rPr>
          <w:rStyle w:val="a3"/>
          <w:sz w:val="28"/>
          <w:szCs w:val="28"/>
        </w:rPr>
        <w:t xml:space="preserve">Социальная сфера </w:t>
      </w:r>
    </w:p>
    <w:p w:rsidR="0074511A" w:rsidRPr="001F1010" w:rsidRDefault="001F1010" w:rsidP="001F1010">
      <w:pPr>
        <w:spacing w:line="276" w:lineRule="auto"/>
        <w:jc w:val="both"/>
        <w:divId w:val="1972859180"/>
        <w:rPr>
          <w:lang w:val="en-US"/>
        </w:rPr>
      </w:pPr>
      <w:r>
        <w:rPr>
          <w:lang w:val="en-US"/>
        </w:rPr>
        <w:lastRenderedPageBreak/>
        <w:t xml:space="preserve">Администрация района, ее структурные подразделения в отчетном периоде уделяли особое внимание формированию и реализации в районе взвешенной  и эффективной социальной политики, на основе необходимости обеспечения населения нашего района качественными, современными услугами в образовательной и культурной сферах, здравоохранении и молодежной среде в рамках исполнения муниципальных полномочий. На эффективность проводимой в этом направлении организаторской работы безусловно повлияли вынужденные ограничения, связанные с пандемией коронавируса.В то же время, именно социальная политика, занимающая приоритетное место в сфере деятельности органов муниципальной власти и расходах консолидированного бюджета требует постоянного совершенствования и внимания.В муниципальной системе образования района продолжалась организаторская  работа, направленная на создание условий для реализации комплекса мер по модернизации имеющейся образовательной сферы.Для обеспечения предоставления различных образовательных услуг в Бурлинском районе функционировали 4 общеобразовательные организации с правом оказания услуг дошкольного образования (СОШ), 1 дошкольное образовательное учреждение (ДОУ),  1 учреждение дополнительного образования (УДО).Все образовательные учреждения работали  на основе утвержденных стандартов качества услуг, предоставляемых  в сфере образования.Функционирование и развитие системы образования района, её результаты и  успехи напрямую зависят от ресурсного обеспечения, важнейшей составляющей которого являются квалифицированные кадры.Всего в районе 173 педагогических работника и  6 руководителей. На 01 сентября 2021 года доля педагогических работников, имеющих квалификационные категории, составила: 145 человек  (83,9%): из них высшую 69(39,9%) чел.; первую – 76 чел.(44,0%).Проблема некоторого дефицита педагогических кадров, имеющих соответствующую профессиональную подготовку, в районе периодически проявлялась.  В 2021 году в районе образовалась только одна вакансия педагога начальных классов в МБОУ «Бурлинская СОШ». Благодаря оптимальной расстановке кадров и своевременному реагированию, комитету по образованию Администрации района удалось  вовремя разрешить эту проблему до наступления нового учебного года.  Каждый год комитет по образованию Администрации района в рамках подготовки педагогических кадров заключает по два целевых договора на обучение выпускников школ по программам высшего профессионального образования и несколько – по программам среднего профессионального образования. Необходимо работать по возврату подготовленных специалистов в село.Задачей в области дошкольного образования является обеспечение доступности дошкольного образования и ликвидация очередности. Оно призвано обеспечить для каждого ребенка уровень развития, который бы позволил ему быть успешным в начальной школе и на последующих степенях обучения.  Дошкольным образованием в районе охвачен 301 ребенок в возрасте от 1,6 до 7 лет, в том числе: от 1,6 до 3 лет – 29 детей, от 3 до 7 лет – 272 ребенка ( 2 — на семейном обучении). По данным федеральной системы показателей электронной очереди АИС «Е-услуги. Образование» детей, не обеспеченных услугой дошкольного образования, в возрасте от 3 до 7 лет на 01.01.2022 года в районе не зарегистрировано.В отчетном периоде в районе начальное общее, основное общее и среднее общее образование обеспечивали 9 общеобразовательных организаций: 5 средних школ, 3 основных и 1 начальная. Организаций, работающих в две смены нет. В 2020-2021 учебном году общий </w:t>
      </w:r>
      <w:r>
        <w:rPr>
          <w:lang w:val="en-US"/>
        </w:rPr>
        <w:lastRenderedPageBreak/>
        <w:t xml:space="preserve">контингент обучающихся составлял 1086 человек. Средняя наполняемость классов по  составила 10,4 человека. Количество первоклассников, по сравнению с прошлым годом, увеличилось на 12 человек и составило – 134 школьника (2020 год - 122). В форме семейного образования в прошедшем году обучались 6 человек ( дети - инвалиды). По итогам 2020-2021 учебного года общая успеваемость составила 98,3%.   Качественная успеваемость составила 44,8%.   Одним из важных показателей образовательной деятельности является получение документа об образовании выпускниками общеобразовательных учреждений по итогам прохождения государственной итоговой аттестации.В 2020-2021 учебном году количество учащихся 9 классов составляло 99 человек, из них –аттестаты получили 93 выпускника: 4 человека с отличием (3 МБОУ «Бурлинская СОШ», 1 МБОУ «Новопесчанская СОШ»),  6 человек по окончанию 9 класса получили свидетельство.Количество выпускников 11 классов на конец учебного года – 53 человека. В 2021г. выпускники, не планировавшие поступать в ВУЗ, сдавали ГВЭ по русскому языку и математике (15 человек). ЕГЭ сдавали   выпускники, планировавшие поступать в ВУЗы (38 человек). Аттестаты получили 52 человека. Из них по итогам ГВЭ-11 из 15 сдававших 14 человек (1  получил справку об окончании школы МБОУ « Бурлинская СОШ»), 38 человек по итогам ЕГЭ, из них 6 человек с отличием (4 из МБОУ «Бурлинская СОШ», 2 из МБОУ «Устьянская СОШ»).В муниципальной системе образования реализуются  региональные пилотные проекты («Современная школа», «500+», «Учитель будущего», «Поддержка семей, имеющих детей», «ФГОС среднего общего образования», «ФГОС 2021», «Финансовая грамотность», «Российское движение школьников»). Все общеобразовательные организации включены в реализацию проектов по разным направлениям. В рамках обновления содержания образования и воспитания с 1 сентября 2021 года во всех общеобразовательных организациях внедряются рабочие программы воспитания и календарные планы воспитательной работы.  МБОУ «Бурлинская СОШ» с 1 сентября 2021 участвует в апробации новых «ФГОС 2021».В МБУ ДО «Центр дополнительного образования» получают дополнительное образование 303 обучающихся: 35 человек – в объединениях технической направленности, 27 человек - социально - гуманитарной, 48 человек – художественной направленности, 14 человек – естественно - научной, 19 человек – туристско-краеведческой, 160 – физкультурно-спортивной направленности.Регулярно проводятся профилактические мероприятия, антинаркотические акции, спортивные мероприятия с целью пропаганды здорового образа жизни. Для беседы с детьми привлекаются специалисты Центра социальной помощи семье и детям, КГБУЗ «Бурлинская ЦРБ», сотрудники ПП по Бурлинскому району (участковые инспекторы).Летний отдых организован за счет средств бюджета муниципального образования на базе общеобразовательных организаций как лагеря с дневным пребыванием детей. В 2021 году оздоровлено около 120 человек. В связи с изменившимися условиями было принято решение отказаться от услуг загородного оздоровительного лагеря. По результатам проведенного мониторинга 15 детей изъявили желание отдохнуть в оздоровительных лагерях Алтайского края.В соответствии с законодательством, в компетенцию образовательной организации входит создание необходимых условий для охраны и укрепления здоровья обучающихся. Для реализации этих задач в образовательных организациях района функционируют современные оборудованные столовые, а на основе заключенных договоров с КГБУЗ «Бурлинская ЦРБ» проводится </w:t>
      </w:r>
      <w:r>
        <w:rPr>
          <w:lang w:val="en-US"/>
        </w:rPr>
        <w:lastRenderedPageBreak/>
        <w:t xml:space="preserve">медицинское обслуживание обучающихся. Всего школьным питанием охвачено 94% учащихся. Бесплатным горячим питанием охвачены 100% школьников начальных классов посещающих общеобразовательные организации района.В последние годы  государственные и муниципальные органы власти все больше уделяют внимания повышению уровня и совершенствованию учебно-воспитательного процесса в системе образования, укреплению материально-технической  и учебной базы образовательных учреждений, созданию безопасных и комфортных условий педагогам и ученикам.Об этом можно судить по поступательному росту расходов в бюджете на содержание образовательных организаций, количеству поступающего в район учебного и технологического оборудования.В 2021 году расходы на содержание образовательных организаций составили всего 42444,4 тыс. рублей,  в том числе:- для обслуживания тревожной кнопки – 211 тыс. рублей;- противопожарные мероприятия, замер сопротивления изоляции – 816 тыс. рублей;- санэпидмероприятия – 128 тыс. рублей;- содержание школьных автобусов – 4350 тыс. рублей, в т.ч. заработная плата водителей – 1850 тыс. рублей;Во всех базовых школах района имеются школьные автобусы. Наличие специальных, оборудованных всем необходимым оборудованием 8 школьных автобусов  позволяет ежедневно обеспечить безопасный, комфортный подвоз  из 14 населенных пунктов 85  школьников  ежедневно, и 29 школьников 1 раз в неделю к местам обучения и доставить обратно.В 2021 году общеобразовательные учреждения района получили в рамках государственной программы 3 новых школьных автобуса стоимостью 5, 4 млн. рублей для замены выработавших установленный срок эксплуатации, учебное и технологическое оборудование, материалы на сумму 4642 тыс. рублей.Благодаря оперативным действиям Администрации района по своевременной подготовке необходимой сметной технической документации уже в 2022 году в рамках Президентской программы будет произведен масштабный капитальный ремонт зданий Михайловской средней школы, с направлением на эти цели по предварительным данным более 55 млн. рублей средств капиталовложений. Активно идет подготовка проектно-сметной документации и для проведения аналогичного капитального ремонта зданий Бурлинской средней школы в 2023 году. В течении 2021 года в районе проводилась организаторская и ответственная работа по выявлению детей-сирот и детей, оставшихся без попечения родителей. На учете в органе по опеке и попечительству по состоянию на 30 декабря 2021 года состоят 38 детей, из них 6 воспитываются в приемной семье, 28 находятся под опекой на возмездной основе и 4 ребенка на безвозмездной. В сфере выявления детей-сирот и детей, оставшихся без попечения родителей, за отчетный год выявлено и учтено в связи с утратой родительского попечения 11 несовершеннолетних, из них:- 3 детей выявлено в связи со смертью единственного родителя;- 6 детей, чьи родители решением районного суда ограничены в родительских правах;- 2 детей отобраны из родительской семьи на основании постановления Администрации района.Из 11 выявленных детей, оставшихся без попечения родителей, 9 детей переданы под опеку, 2 детей помещены в специализированные учреждения для детей, оставшихся без попечения родителей. По причине ненадлежащего исполнения своих родительских обязанностей по воспитанию и содержанию своих несовершеннолетних детей в 2021 году решением Бурлинского районного суда 4 родителей ограничены в родительских правах в отношении 6 детей.Особого внимания и очень ответственного отношения требует сегодня серьезная профилактическая работа с неблагополучными семьями, поскольку от </w:t>
      </w:r>
      <w:r>
        <w:rPr>
          <w:lang w:val="en-US"/>
        </w:rPr>
        <w:lastRenderedPageBreak/>
        <w:t xml:space="preserve">своевременности  принятия необходимых, оптимальных решений в ряде случаев зависит судьба ребенка.Количество проживающих в районе несовершеннолетних детей по сравнению с прошлогодним периодом уменьшилось и составило 2210 человек (в 2020 году – 2420 человек).В настоящее время на учете в комиссии состоит 5 несовершеннолетних (АППГ - 6). Поставлено на учет в 2021 году 2 несовершеннолетних (АППГ - 7), 1 - совершил преступное деяние, 1 - систематически совер­шал правонарушения. С профилак­тического учета снято 3 (АППГ - 2) несовершеннолетних: 2 - в связи с ис­правлением, 1 – в связи с переездом на другое место жительства.В Комиссию за отчетный период поступило 6 административных ма­териалов в отношении несовершеннолетних (АППГ - 28). К административной ответственности привлечено 4 (АППГ - 24) несовершеннолетних, назначено 4 административных наказания, из них в виде штрафа - 4 (АППГ - 20), рассмотрен 1 материал с вынесением определения о передаче дела на рассмотрение по подведомственности (в другой регион) (АППГ - 1), 1 материал возвращен на доработку. За истекший период 2021 года на территории Бурлинского района количество преступлений со стороны несо­вершеннолетних снизилось в 2 раза.  Их совершено 2.По состоянию на 01.01.2022 г. на учете в комиссии состоит 25 (АППГ - 27) семьей, находящихся в социально опасном положении, в которых воспи­тывается 60 несовершеннолетних детей. На все семьи, признанные нахо­дящимися в социально-опасном положении, разработаны и утверждены меж­ведомственные программы индивидуальной профилактической работы. По итогам работы комиссии в 2021 году на профилактический учет поставлено 10 семей (АППГ - 9), из них: 9 семей поставлены на учет в связи с семейным неблагополучием, 1 семья переехала в Бурлинский район из другого района Алтайского края. Снято в 2021 году с профилактического учета 12 семьей (АППГ - 6),  из них: 5 - в связи с улучшением ситуации в семье (АППГ - 6).Крайней мерой профилактической работы с семьями является ограничение, либо лишение родительских прав. В Бурлинский районный суд: направлено 5  исковых заявлений на лишение, либо ограничения родительских прав (АППГ - 8), 1 иск удовлетворен районным судом в полном объеме, 3 - на рассмотрении, в 1 иске отказано, но вынесено судебное преду­преждение.В 2021 г в Бурлинском  районе произошло трагическое событие - преступление в семье, признанной социально опасной, в результате которого мать убила своего малолетнего ребенка.В Комиссию в 2021 году поступило 114 административных материала в отношении родителей (законных представителей) (АППГ - 158). Привлечено к ответственности 111 родителей и (или) иных законных представителей, (АППГ - 156).В целях эффективности профилактики правонарушений несовершен­нолетних, а также для выполнения закона № 99 -ЗС «Об ограничении пребывания несовершеннолетних в общественных местах на территории Алтайско­го края», разработан и утвержден план-график для осуществления рейдовых мероприятий на 2021 год всеми службами системы профилактики. Регулярно в вечернее и ночное время проводятся рейдовые мероприятия, проверяются места массовой дислокации молодежи: парки, дискотеки в СДК, РДК. За 2021 год проведено 12 рейдов, выявлено 17 (АППГ - 33) фактов нарушения закона № 99 -ЗС «Об ограничении пребывания несовершеннолетних в общественных местах на территории Алтайского края».По  состоянию на 01.01.2021 года в районе работают МБУК «Многофункциональный культурный центр» Бурлинского района Алтайского края, в структуру которого входят отделы: </w:t>
      </w:r>
      <w:r>
        <w:rPr>
          <w:lang w:val="en-US"/>
        </w:rPr>
        <w:lastRenderedPageBreak/>
        <w:t xml:space="preserve">Бурлинский районный Дом культуры, Бурлинский районный краеведческий музей, Бурлинская межпоселенческая модельная библиотека, методический отдел, 11 филиалов КДУ  и 11 филиалов библиотек,  расположенных в поселениях, а так же, МБУДО «Бурлинская детская школа искусств».Функционировали два самодеятельных центра немецкой и казахской культуры.В условиях ограничительных мер, связанных с новой коронавирусной инфекцией, реализовать в полном объеме все намеченные планы и мероприятия  в сфере культуры не удалось из-за  приостановки проведения культурно-массовых мероприятий в селах района. Отсюда и низкие показатели результативности. Но вопреки сложившимся обстоятельствам все же 2021 год был наполнен  новыми  формами и методами работыВ отчетном году учреждениями культуры района проведено  1624 культурно – массовых мероприятий. Из них:- 1392 – культурно-досуговых мероприятия;- 232 – информационно-просветительских мероприятия.В рамках федерального бюджета учреждения культуры получили книг и периодических изданий 236 экземпляров  на сумму 94 тыс. руб., из  краевого бюджета  404 экземпляра на сумму 131 тыс.руб., из муниципального бюджета 163 экземпляра на сумму 20 тыс. руб., за счет спонсорских средств 17 экземпляров на сумму 6300 рублей.В 2021 году доходы от платных услуг населению учреждениями культуры района составил 333 тыс. рубля (2020г. - 249), спонсорская помощь составила  90250 рублей (2020 - 115000 рублей).С учетом назревшей необходимости был определен и реализован ряд конкретных мер по существенному укреплению материально-технической базы отрасли культуры.Направленные по инициативе секретаря Алтайского регионального отделения партии «Единая Россия» А.А. Романенко в район финансовые средства, были выделены из консолидированного бюджета района  на ремонт кровли крыши, замену входных дверей Лесновского и Притыкинского филиалов  в сумме 1 140 тыс. рублей и 655 тыс. рублей - для приобретения компьютерного, музыкального оборудования и ноутбуков в учреждения культуры. Считаем актуальным в дальнейшем продолжить это направление деятельности.Деятельность в сфере физической культуры и спорта в районе осуществлялось в соответствии с программой «Развитие физической культуры и спорта в Бурлинском районе на 2021-2024годы».В 2021 году открыта малая площадка по приему комплекса ВФСК ГТО, приобретенная за счет средств федерального бюджета в рамках Государственной программы Российской Федерации «Развитие физической культуры и спорта» и установленная при финансовой и организационной  поддержке Администрации района.В соответствии с разработанным в районе поэтапным планом внедрения системы ГТО с 2016 года началась сдача комплекса Всероссийского физкультурно-спортивного комплекса «Готов к труду и обороне». В 2021 году приняли участие в сдаче норм комплекса ГТО более 150 человек. Нормативы комплекса ГТО выполнили 102 человека. Из них: на золотой знак - 24 человека, серебряный знак - 55 и бронзовый - 23 человека.Календарь спортивно-массовых и физкультурно-оздоровительных мероприятий на 2021 год включал 29 районных, краевых и межрайонных мероприятий. Сборные команды района принимала участие в отборочных соревнованиях летней Олимпиады сельских спортсменов Алтайского края по волейболу, настольному теннису и баскетболу. Женская команда по баскетболу прошла в финал XLII летней олимпиады сельских спортсменов Алтайского края «Мамонтово - 2021». К сожалению, из-за ситуации с коронавирусом были отменены массовые мероприятия, и летняя Олимпиада сельских спортсменов Алтая не </w:t>
      </w:r>
      <w:r>
        <w:rPr>
          <w:lang w:val="en-US"/>
        </w:rPr>
        <w:lastRenderedPageBreak/>
        <w:t>состоялась.Финансовые средства, предусмотренные в бюджете района для развития взрослого и детского спорта по 85 тыс. рублей освоены в полном объеме, приобретен необходимый спортинвентарь. На территории Бурлинского района действует Совет молодежи при Администрации района, который состоит из 19 человек. В отчетном году было проведено 4 заседания Совета молодежи.В 2021 году молодежным советом проведено более 20 мероприятий. Представители молодежи района приняли участие в молодежном международном образовательном форуме «Алтай. Территория развития-2021», в сессии Молодежного Парламента Алтайского края, в конкурсе профессиональных траекторий развития «Сфера притяжения», в краевой программе «#В фокусе Молодежной Политики».Волонтёрское движение в Бурлинском районе  растёт и развивается. В 2021 году по сравнению с 2020 годом количество официально зарегистрированных добровольцев на территории муниципального образования Бурлинский район увеличилось в 2 раза и составляет 197 человек (98 в 2020г.), что дает положительную динамику роста количества молодежи, вовлекаемой в социальную практику. Активно действуют 3 волонтёрских отряда - в с. Михайловка «Круг друзей» (руководитель Сопелкина О.В.), в с. Новосельском «Шаг навстречу» (руководитель Битенов С.Б.) и с. Бурла «Путь добра» (руководитель Рау Т.В.). В сентябре проведен ежегодный слет волонтерских отрядов Бурлинского района.На территории Бурлинского района действует муниципальная программа «Обеспечение жильем молодых семей в Бурлинском районе» на 2021-2025 годы. По состоянию на 01.01.2021 на учете состояло 3 молодых семьи, нуждающихся в улучшении жилищных условий. В 2021 году данной социальной выплатой воспользовалась семья жительницы села Гусиная Ляга Тасыбаевой Надиры Толегеновны в составе 6 человек.Район располагает достаточно широким полем деятельности для самореализации нашей молодежи.</w:t>
      </w:r>
    </w:p>
    <w:p w:rsidR="0074511A" w:rsidRDefault="0074511A">
      <w:pPr>
        <w:spacing w:after="240" w:line="276" w:lineRule="auto"/>
        <w:divId w:val="1537622445"/>
      </w:pPr>
      <w:r>
        <w:br/>
      </w:r>
      <w:r>
        <w:br/>
      </w:r>
    </w:p>
    <w:tbl>
      <w:tblPr>
        <w:tblW w:w="0" w:type="auto"/>
        <w:jc w:val="right"/>
        <w:tblCellSpacing w:w="15" w:type="dxa"/>
        <w:tblCellMar>
          <w:top w:w="15" w:type="dxa"/>
          <w:left w:w="15" w:type="dxa"/>
          <w:bottom w:w="15" w:type="dxa"/>
          <w:right w:w="15" w:type="dxa"/>
        </w:tblCellMar>
        <w:tblLook w:val="04A0"/>
      </w:tblPr>
      <w:tblGrid>
        <w:gridCol w:w="758"/>
        <w:gridCol w:w="1260"/>
        <w:gridCol w:w="3937"/>
      </w:tblGrid>
      <w:tr w:rsidR="0074511A" w:rsidTr="008E0719">
        <w:trPr>
          <w:divId w:val="1191646061"/>
          <w:tblCellSpacing w:w="15" w:type="dxa"/>
          <w:jc w:val="right"/>
        </w:trPr>
        <w:tc>
          <w:tcPr>
            <w:tcW w:w="0" w:type="auto"/>
            <w:vAlign w:val="center"/>
            <w:hideMark/>
          </w:tcPr>
          <w:p w:rsidR="0074511A" w:rsidRPr="001F1010" w:rsidRDefault="001F1010" w:rsidP="008E0719">
            <w:pPr>
              <w:spacing w:line="276" w:lineRule="auto"/>
              <w:jc w:val="right"/>
              <w:rPr>
                <w:sz w:val="28"/>
                <w:szCs w:val="28"/>
                <w:lang w:val="en-US"/>
              </w:rPr>
            </w:pPr>
            <w:r>
              <w:rPr>
                <w:sz w:val="28"/>
                <w:szCs w:val="28"/>
                <w:lang w:val="en-US"/>
              </w:rPr>
              <w:t>Глава</w:t>
            </w:r>
          </w:p>
        </w:tc>
        <w:tc>
          <w:tcPr>
            <w:tcW w:w="0" w:type="auto"/>
            <w:vAlign w:val="bottom"/>
            <w:hideMark/>
          </w:tcPr>
          <w:p w:rsidR="0074511A" w:rsidRDefault="0074511A">
            <w:r>
              <w:t>__________</w:t>
            </w:r>
          </w:p>
        </w:tc>
        <w:tc>
          <w:tcPr>
            <w:tcW w:w="0" w:type="auto"/>
            <w:vAlign w:val="bottom"/>
            <w:hideMark/>
          </w:tcPr>
          <w:p w:rsidR="0074511A" w:rsidRPr="001F1010" w:rsidRDefault="001F1010">
            <w:pPr>
              <w:spacing w:line="276" w:lineRule="auto"/>
              <w:rPr>
                <w:sz w:val="28"/>
                <w:szCs w:val="28"/>
                <w:lang w:val="en-US"/>
              </w:rPr>
            </w:pPr>
            <w:r>
              <w:rPr>
                <w:sz w:val="28"/>
                <w:szCs w:val="28"/>
                <w:lang w:val="en-US"/>
              </w:rPr>
              <w:t>Давыденко Сергей Анатольевич</w:t>
            </w:r>
          </w:p>
        </w:tc>
      </w:tr>
      <w:tr w:rsidR="0074511A" w:rsidTr="008E0719">
        <w:trPr>
          <w:divId w:val="1191646061"/>
          <w:tblCellSpacing w:w="15" w:type="dxa"/>
          <w:jc w:val="right"/>
        </w:trPr>
        <w:tc>
          <w:tcPr>
            <w:tcW w:w="0" w:type="auto"/>
            <w:vAlign w:val="center"/>
            <w:hideMark/>
          </w:tcPr>
          <w:p w:rsidR="0074511A" w:rsidRDefault="0074511A">
            <w:r>
              <w:t> </w:t>
            </w:r>
          </w:p>
        </w:tc>
        <w:tc>
          <w:tcPr>
            <w:tcW w:w="0" w:type="auto"/>
            <w:hideMark/>
          </w:tcPr>
          <w:p w:rsidR="0074511A" w:rsidRDefault="0074511A">
            <w:r>
              <w:t>(подпись)</w:t>
            </w:r>
          </w:p>
        </w:tc>
        <w:tc>
          <w:tcPr>
            <w:tcW w:w="0" w:type="auto"/>
            <w:vAlign w:val="center"/>
            <w:hideMark/>
          </w:tcPr>
          <w:p w:rsidR="0074511A" w:rsidRDefault="0074511A">
            <w:r>
              <w:t> </w:t>
            </w:r>
          </w:p>
        </w:tc>
      </w:tr>
    </w:tbl>
    <w:tbl>
      <w:tblPr>
        <w:tblW w:w="0" w:type="auto"/>
        <w:tblCellSpacing w:w="15" w:type="dxa"/>
        <w:tblCellMar>
          <w:top w:w="15" w:type="dxa"/>
          <w:left w:w="15" w:type="dxa"/>
          <w:bottom w:w="15" w:type="dxa"/>
          <w:right w:w="15" w:type="dxa"/>
        </w:tblCellMar>
        <w:tblLook w:val="04A0"/>
      </w:tblPr>
      <w:tblGrid>
        <w:gridCol w:w="5595"/>
        <w:gridCol w:w="81"/>
      </w:tblGrid>
      <w:tr w:rsidR="0074511A">
        <w:trPr>
          <w:divId w:val="1537622445"/>
          <w:tblCellSpacing w:w="15" w:type="dxa"/>
        </w:trPr>
        <w:tc>
          <w:tcPr>
            <w:tcW w:w="5550" w:type="dxa"/>
            <w:vAlign w:val="center"/>
            <w:hideMark/>
          </w:tcPr>
          <w:p w:rsidR="0074511A" w:rsidRDefault="0074511A">
            <w:r>
              <w:t> </w:t>
            </w:r>
          </w:p>
        </w:tc>
        <w:tc>
          <w:tcPr>
            <w:tcW w:w="0" w:type="auto"/>
            <w:vAlign w:val="center"/>
            <w:hideMark/>
          </w:tcPr>
          <w:p w:rsidR="0074511A" w:rsidRDefault="0074511A"/>
        </w:tc>
      </w:tr>
    </w:tbl>
    <w:p w:rsidR="0074511A" w:rsidRDefault="0074511A">
      <w:pPr>
        <w:divId w:val="1537622445"/>
      </w:pPr>
    </w:p>
    <w:sectPr w:rsidR="0074511A" w:rsidSect="00D4714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D37" w:rsidRDefault="00366D37" w:rsidP="00D47142">
      <w:r>
        <w:separator/>
      </w:r>
    </w:p>
  </w:endnote>
  <w:endnote w:type="continuationSeparator" w:id="0">
    <w:p w:rsidR="00366D37" w:rsidRDefault="00366D37" w:rsidP="00D47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42" w:rsidRDefault="00D4714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42" w:rsidRDefault="0019256E" w:rsidP="00D47142">
    <w:pPr>
      <w:pStyle w:val="a6"/>
      <w:jc w:val="right"/>
    </w:pPr>
    <w:r>
      <w:fldChar w:fldCharType="begin"/>
    </w:r>
    <w:r w:rsidR="00D47142">
      <w:instrText xml:space="preserve"> PAGE  \* MERGEFORMAT </w:instrText>
    </w:r>
    <w:r>
      <w:fldChar w:fldCharType="separate"/>
    </w:r>
    <w:r w:rsidR="006C619F">
      <w:rPr>
        <w:noProof/>
      </w:rPr>
      <w:t>17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42" w:rsidRDefault="00D471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D37" w:rsidRDefault="00366D37" w:rsidP="00D47142">
      <w:r>
        <w:separator/>
      </w:r>
    </w:p>
  </w:footnote>
  <w:footnote w:type="continuationSeparator" w:id="0">
    <w:p w:rsidR="00366D37" w:rsidRDefault="00366D37" w:rsidP="00D47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42" w:rsidRDefault="00D4714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42" w:rsidRDefault="00D4714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42" w:rsidRDefault="00D4714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47142"/>
    <w:rsid w:val="000D3D3D"/>
    <w:rsid w:val="0015389F"/>
    <w:rsid w:val="0019256E"/>
    <w:rsid w:val="001F1010"/>
    <w:rsid w:val="00366D37"/>
    <w:rsid w:val="00467A05"/>
    <w:rsid w:val="005A1D93"/>
    <w:rsid w:val="006C619F"/>
    <w:rsid w:val="00705BA6"/>
    <w:rsid w:val="0074511A"/>
    <w:rsid w:val="008E0719"/>
    <w:rsid w:val="00954C8F"/>
    <w:rsid w:val="00C97D56"/>
    <w:rsid w:val="00D4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5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unhideWhenUsed/>
    <w:rsid w:val="0019256E"/>
    <w:pPr>
      <w:spacing w:before="100" w:beforeAutospacing="1" w:after="100" w:afterAutospacing="1"/>
    </w:pPr>
  </w:style>
  <w:style w:type="character" w:styleId="a3">
    <w:name w:val="Strong"/>
    <w:basedOn w:val="a0"/>
    <w:uiPriority w:val="22"/>
    <w:qFormat/>
    <w:rsid w:val="0019256E"/>
    <w:rPr>
      <w:b/>
      <w:bCs/>
    </w:rPr>
  </w:style>
  <w:style w:type="paragraph" w:styleId="a4">
    <w:name w:val="header"/>
    <w:basedOn w:val="a"/>
    <w:link w:val="a5"/>
    <w:uiPriority w:val="99"/>
    <w:semiHidden/>
    <w:unhideWhenUsed/>
    <w:rsid w:val="00D47142"/>
    <w:pPr>
      <w:tabs>
        <w:tab w:val="center" w:pos="4677"/>
        <w:tab w:val="right" w:pos="9355"/>
      </w:tabs>
    </w:pPr>
  </w:style>
  <w:style w:type="character" w:customStyle="1" w:styleId="a5">
    <w:name w:val="Верхний колонтитул Знак"/>
    <w:basedOn w:val="a0"/>
    <w:link w:val="a4"/>
    <w:uiPriority w:val="99"/>
    <w:semiHidden/>
    <w:rsid w:val="00D47142"/>
    <w:rPr>
      <w:rFonts w:eastAsia="Times New Roman"/>
      <w:sz w:val="24"/>
      <w:szCs w:val="24"/>
    </w:rPr>
  </w:style>
  <w:style w:type="paragraph" w:styleId="a6">
    <w:name w:val="footer"/>
    <w:basedOn w:val="a"/>
    <w:link w:val="a7"/>
    <w:uiPriority w:val="99"/>
    <w:semiHidden/>
    <w:unhideWhenUsed/>
    <w:rsid w:val="00D47142"/>
    <w:pPr>
      <w:tabs>
        <w:tab w:val="center" w:pos="4677"/>
        <w:tab w:val="right" w:pos="9355"/>
      </w:tabs>
    </w:pPr>
  </w:style>
  <w:style w:type="character" w:customStyle="1" w:styleId="a7">
    <w:name w:val="Нижний колонтитул Знак"/>
    <w:basedOn w:val="a0"/>
    <w:link w:val="a6"/>
    <w:uiPriority w:val="99"/>
    <w:semiHidden/>
    <w:rsid w:val="00D47142"/>
    <w:rPr>
      <w:rFonts w:eastAsia="Times New Roman"/>
      <w:sz w:val="24"/>
      <w:szCs w:val="24"/>
    </w:rPr>
  </w:style>
  <w:style w:type="paragraph" w:styleId="a8">
    <w:name w:val="Balloon Text"/>
    <w:basedOn w:val="a"/>
    <w:link w:val="a9"/>
    <w:uiPriority w:val="99"/>
    <w:semiHidden/>
    <w:unhideWhenUsed/>
    <w:rsid w:val="006C619F"/>
    <w:rPr>
      <w:rFonts w:ascii="Tahoma" w:hAnsi="Tahoma" w:cs="Tahoma"/>
      <w:sz w:val="16"/>
      <w:szCs w:val="16"/>
    </w:rPr>
  </w:style>
  <w:style w:type="character" w:customStyle="1" w:styleId="a9">
    <w:name w:val="Текст выноски Знак"/>
    <w:basedOn w:val="a0"/>
    <w:link w:val="a8"/>
    <w:uiPriority w:val="99"/>
    <w:semiHidden/>
    <w:rsid w:val="006C6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622445">
      <w:marLeft w:val="0"/>
      <w:marRight w:val="0"/>
      <w:marTop w:val="0"/>
      <w:marBottom w:val="0"/>
      <w:divBdr>
        <w:top w:val="none" w:sz="0" w:space="0" w:color="auto"/>
        <w:left w:val="none" w:sz="0" w:space="0" w:color="auto"/>
        <w:bottom w:val="none" w:sz="0" w:space="0" w:color="auto"/>
        <w:right w:val="none" w:sz="0" w:space="0" w:color="auto"/>
      </w:divBdr>
      <w:divsChild>
        <w:div w:id="223301121">
          <w:marLeft w:val="300"/>
          <w:marRight w:val="0"/>
          <w:marTop w:val="0"/>
          <w:marBottom w:val="0"/>
          <w:divBdr>
            <w:top w:val="none" w:sz="0" w:space="0" w:color="auto"/>
            <w:left w:val="none" w:sz="0" w:space="0" w:color="auto"/>
            <w:bottom w:val="none" w:sz="0" w:space="0" w:color="auto"/>
            <w:right w:val="none" w:sz="0" w:space="0" w:color="auto"/>
          </w:divBdr>
        </w:div>
        <w:div w:id="1450320109">
          <w:marLeft w:val="300"/>
          <w:marRight w:val="0"/>
          <w:marTop w:val="0"/>
          <w:marBottom w:val="0"/>
          <w:divBdr>
            <w:top w:val="none" w:sz="0" w:space="0" w:color="auto"/>
            <w:left w:val="none" w:sz="0" w:space="0" w:color="auto"/>
            <w:bottom w:val="none" w:sz="0" w:space="0" w:color="auto"/>
            <w:right w:val="none" w:sz="0" w:space="0" w:color="auto"/>
          </w:divBdr>
        </w:div>
        <w:div w:id="1006633197">
          <w:marLeft w:val="300"/>
          <w:marRight w:val="0"/>
          <w:marTop w:val="0"/>
          <w:marBottom w:val="0"/>
          <w:divBdr>
            <w:top w:val="none" w:sz="0" w:space="0" w:color="auto"/>
            <w:left w:val="none" w:sz="0" w:space="0" w:color="auto"/>
            <w:bottom w:val="none" w:sz="0" w:space="0" w:color="auto"/>
            <w:right w:val="none" w:sz="0" w:space="0" w:color="auto"/>
          </w:divBdr>
        </w:div>
        <w:div w:id="672149918">
          <w:marLeft w:val="300"/>
          <w:marRight w:val="0"/>
          <w:marTop w:val="0"/>
          <w:marBottom w:val="0"/>
          <w:divBdr>
            <w:top w:val="none" w:sz="0" w:space="0" w:color="auto"/>
            <w:left w:val="none" w:sz="0" w:space="0" w:color="auto"/>
            <w:bottom w:val="none" w:sz="0" w:space="0" w:color="auto"/>
            <w:right w:val="none" w:sz="0" w:space="0" w:color="auto"/>
          </w:divBdr>
        </w:div>
        <w:div w:id="1356543834">
          <w:marLeft w:val="300"/>
          <w:marRight w:val="0"/>
          <w:marTop w:val="0"/>
          <w:marBottom w:val="0"/>
          <w:divBdr>
            <w:top w:val="none" w:sz="0" w:space="0" w:color="auto"/>
            <w:left w:val="none" w:sz="0" w:space="0" w:color="auto"/>
            <w:bottom w:val="none" w:sz="0" w:space="0" w:color="auto"/>
            <w:right w:val="none" w:sz="0" w:space="0" w:color="auto"/>
          </w:divBdr>
        </w:div>
        <w:div w:id="1611469857">
          <w:marLeft w:val="300"/>
          <w:marRight w:val="0"/>
          <w:marTop w:val="0"/>
          <w:marBottom w:val="0"/>
          <w:divBdr>
            <w:top w:val="none" w:sz="0" w:space="0" w:color="auto"/>
            <w:left w:val="none" w:sz="0" w:space="0" w:color="auto"/>
            <w:bottom w:val="none" w:sz="0" w:space="0" w:color="auto"/>
            <w:right w:val="none" w:sz="0" w:space="0" w:color="auto"/>
          </w:divBdr>
        </w:div>
        <w:div w:id="1437944105">
          <w:marLeft w:val="300"/>
          <w:marRight w:val="0"/>
          <w:marTop w:val="0"/>
          <w:marBottom w:val="0"/>
          <w:divBdr>
            <w:top w:val="none" w:sz="0" w:space="0" w:color="auto"/>
            <w:left w:val="none" w:sz="0" w:space="0" w:color="auto"/>
            <w:bottom w:val="none" w:sz="0" w:space="0" w:color="auto"/>
            <w:right w:val="none" w:sz="0" w:space="0" w:color="auto"/>
          </w:divBdr>
        </w:div>
        <w:div w:id="1904366202">
          <w:marLeft w:val="300"/>
          <w:marRight w:val="0"/>
          <w:marTop w:val="0"/>
          <w:marBottom w:val="0"/>
          <w:divBdr>
            <w:top w:val="none" w:sz="0" w:space="0" w:color="auto"/>
            <w:left w:val="none" w:sz="0" w:space="0" w:color="auto"/>
            <w:bottom w:val="none" w:sz="0" w:space="0" w:color="auto"/>
            <w:right w:val="none" w:sz="0" w:space="0" w:color="auto"/>
          </w:divBdr>
        </w:div>
        <w:div w:id="1972859180">
          <w:marLeft w:val="300"/>
          <w:marRight w:val="0"/>
          <w:marTop w:val="0"/>
          <w:marBottom w:val="0"/>
          <w:divBdr>
            <w:top w:val="none" w:sz="0" w:space="0" w:color="auto"/>
            <w:left w:val="none" w:sz="0" w:space="0" w:color="auto"/>
            <w:bottom w:val="none" w:sz="0" w:space="0" w:color="auto"/>
            <w:right w:val="none" w:sz="0" w:space="0" w:color="auto"/>
          </w:divBdr>
        </w:div>
        <w:div w:id="11916460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8387</Words>
  <Characters>47808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GUEI</Company>
  <LinksUpToDate>false</LinksUpToDate>
  <CharactersWithSpaces>56083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webadmin</dc:creator>
  <cp:lastModifiedBy>Economika</cp:lastModifiedBy>
  <cp:revision>2</cp:revision>
  <cp:lastPrinted>2022-04-26T07:18:00Z</cp:lastPrinted>
  <dcterms:created xsi:type="dcterms:W3CDTF">2022-04-26T07:21:00Z</dcterms:created>
  <dcterms:modified xsi:type="dcterms:W3CDTF">2022-04-26T07:21:00Z</dcterms:modified>
</cp:coreProperties>
</file>