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11A" w:rsidRDefault="0074511A">
      <w:pPr>
        <w:spacing w:line="276" w:lineRule="auto"/>
        <w:divId w:val="1537622445"/>
      </w:pPr>
    </w:p>
    <w:tbl>
      <w:tblPr>
        <w:tblW w:w="5000" w:type="pct"/>
        <w:tblCellSpacing w:w="0" w:type="dxa"/>
        <w:tblCellMar>
          <w:left w:w="0" w:type="dxa"/>
          <w:right w:w="0" w:type="dxa"/>
        </w:tblCellMar>
        <w:tblLook w:val="04A0"/>
      </w:tblPr>
      <w:tblGrid>
        <w:gridCol w:w="9355"/>
      </w:tblGrid>
      <w:tr w:rsidR="0074511A">
        <w:trPr>
          <w:divId w:val="1537622445"/>
          <w:tblCellSpacing w:w="0" w:type="dxa"/>
        </w:trPr>
        <w:tc>
          <w:tcPr>
            <w:tcW w:w="0" w:type="auto"/>
            <w:vAlign w:val="center"/>
            <w:hideMark/>
          </w:tcPr>
          <w:p w:rsidR="0074511A" w:rsidRDefault="0074511A">
            <w:pPr>
              <w:spacing w:line="276" w:lineRule="auto"/>
              <w:jc w:val="center"/>
              <w:rPr>
                <w:b/>
                <w:bCs/>
                <w:sz w:val="28"/>
                <w:szCs w:val="28"/>
              </w:rPr>
            </w:pPr>
            <w:r>
              <w:rPr>
                <w:b/>
                <w:bCs/>
                <w:sz w:val="28"/>
                <w:szCs w:val="28"/>
              </w:rPr>
              <w:t>Информация о социально-экономическом развитии</w:t>
            </w:r>
          </w:p>
        </w:tc>
      </w:tr>
      <w:tr w:rsidR="0074511A">
        <w:trPr>
          <w:divId w:val="1537622445"/>
          <w:tblCellSpacing w:w="0" w:type="dxa"/>
        </w:trPr>
        <w:tc>
          <w:tcPr>
            <w:tcW w:w="0" w:type="auto"/>
            <w:tcBorders>
              <w:bottom w:val="single" w:sz="8" w:space="0" w:color="000000"/>
            </w:tcBorders>
            <w:vAlign w:val="center"/>
            <w:hideMark/>
          </w:tcPr>
          <w:p w:rsidR="0074511A" w:rsidRDefault="001F1010">
            <w:pPr>
              <w:spacing w:line="276" w:lineRule="auto"/>
              <w:jc w:val="center"/>
              <w:rPr>
                <w:sz w:val="28"/>
                <w:szCs w:val="28"/>
              </w:rPr>
            </w:pPr>
            <w:r>
              <w:rPr>
                <w:b/>
                <w:bCs/>
                <w:sz w:val="28"/>
                <w:szCs w:val="28"/>
              </w:rPr>
              <w:t>Бурлинского района</w:t>
            </w:r>
            <w:r w:rsidR="000D3D3D">
              <w:rPr>
                <w:b/>
                <w:bCs/>
                <w:sz w:val="28"/>
                <w:szCs w:val="28"/>
                <w:lang w:val="en-US"/>
              </w:rPr>
              <w:t xml:space="preserve"> </w:t>
            </w:r>
            <w:r w:rsidR="0074511A">
              <w:rPr>
                <w:b/>
                <w:bCs/>
                <w:sz w:val="28"/>
                <w:szCs w:val="28"/>
              </w:rPr>
              <w:t xml:space="preserve">в </w:t>
            </w:r>
            <w:r>
              <w:rPr>
                <w:b/>
                <w:bCs/>
                <w:sz w:val="28"/>
                <w:szCs w:val="28"/>
                <w:lang w:val="en-US"/>
              </w:rPr>
              <w:t>2025</w:t>
            </w:r>
            <w:r w:rsidR="0074511A">
              <w:rPr>
                <w:b/>
                <w:bCs/>
                <w:sz w:val="28"/>
                <w:szCs w:val="28"/>
              </w:rPr>
              <w:t xml:space="preserve"> году.</w:t>
            </w:r>
          </w:p>
        </w:tc>
      </w:tr>
      <w:tr w:rsidR="0074511A">
        <w:trPr>
          <w:divId w:val="1537622445"/>
          <w:tblCellSpacing w:w="0" w:type="dxa"/>
        </w:trPr>
        <w:tc>
          <w:tcPr>
            <w:tcW w:w="0" w:type="auto"/>
            <w:vAlign w:val="center"/>
            <w:hideMark/>
          </w:tcPr>
          <w:p w:rsidR="0074511A" w:rsidRDefault="0074511A">
            <w:pPr>
              <w:pStyle w:val="1"/>
              <w:spacing w:line="276" w:lineRule="auto"/>
              <w:jc w:val="center"/>
              <w:rPr>
                <w:sz w:val="22"/>
                <w:szCs w:val="22"/>
              </w:rPr>
            </w:pPr>
            <w:r w:rsidRPr="00D47142">
              <w:rPr>
                <w:sz w:val="22"/>
                <w:szCs w:val="22"/>
              </w:rPr>
              <w:t>(официальное наименование городского округа (муниципального района)</w:t>
            </w:r>
          </w:p>
        </w:tc>
      </w:tr>
    </w:tbl>
    <w:p w:rsidR="0074511A" w:rsidRDefault="0074511A">
      <w:pPr>
        <w:spacing w:after="240" w:line="276" w:lineRule="auto"/>
        <w:divId w:val="1537622445"/>
      </w:pPr>
      <w:r>
        <w:br/>
      </w:r>
      <w:r>
        <w:br/>
      </w:r>
    </w:p>
    <w:p w:rsidR="0074511A" w:rsidRDefault="0074511A" w:rsidP="008E0719">
      <w:pPr>
        <w:spacing w:before="240" w:after="240" w:line="276" w:lineRule="auto"/>
        <w:jc w:val="center"/>
        <w:divId w:val="223301121"/>
      </w:pPr>
      <w:r>
        <w:rPr>
          <w:rStyle w:val="a3"/>
          <w:sz w:val="28"/>
          <w:szCs w:val="28"/>
        </w:rPr>
        <w:t xml:space="preserve">Промышленное производство </w:t>
      </w:r>
    </w:p>
    <w:p w:rsidR="0074511A" w:rsidRPr="001F1010" w:rsidRDefault="00EC3C1B" w:rsidP="001F1010">
      <w:pPr>
        <w:spacing w:line="276" w:lineRule="auto"/>
        <w:jc w:val="both"/>
        <w:divId w:val="223301121"/>
      </w:pPr>
      <w:r>
        <w:tab/>
      </w:r>
      <w:r w:rsidR="001F1010" w:rsidRPr="001F1010">
        <w:t xml:space="preserve">Администрацией района в </w:t>
      </w:r>
      <w:proofErr w:type="gramStart"/>
      <w:r w:rsidR="001F1010" w:rsidRPr="001F1010">
        <w:t>рамках, предоставленных действующим Законодательством полномочий предпринимались</w:t>
      </w:r>
      <w:proofErr w:type="gramEnd"/>
      <w:r w:rsidR="001F1010" w:rsidRPr="001F1010">
        <w:t xml:space="preserve"> все возможные меры по созданию необходимых условий для сохранения, поддержки и развития сельскохозяйственной отрасли, совершенствования производственного и технологического процесса, вовлечению в оборот земель сельхозназначения и привлечению инвестиций. Несмотря на присутствие в районе различных форм ведения сельскохозяйственного производства, все же крупные коллективные хозяйства, работающие в рамках правового поля, являются базовыми источниками для пополнения бюджета района в виде налоговых отчислений и арендных земельных платежей, несут на себе большую социальную нагрузку, оказывают поддержку органам местного самоуправления в решении насущных проблем сельского населения. В 2025 году в районе сельскохозяйственным производством занимались 12 субъектов аграрной направленности в форме АО, ООО, К(Ф)Х и ИП.Сельхозтоваропроизводители, адаптировавшись к рыночным условиям и располагая значительно меньшими объемами производства, выстраивают современную систему возделывания востребованных сельскохозяйственных культур.В целом ситуацию в аграрном секторе района, пожалуй, можно охарактеризовать как стабильно тяжелую с наметившимися точками роста. Мелкие сельхозтоваропроизводители, адаптировавшись к рыночным условиям и располагая значительно меньшими объемами производства, выстраивают современную систему возделывания востребованных сельскохозяйственных культур, проведя модернизацию материально-технической базы, несмотря на сложности прошедшего года, сохранили стабильность своей экономики и намерены продолжать совершенствование производственного процесса.</w:t>
      </w:r>
    </w:p>
    <w:p w:rsidR="0074511A" w:rsidRDefault="0074511A" w:rsidP="008E0719">
      <w:pPr>
        <w:spacing w:before="240" w:after="240" w:line="276" w:lineRule="auto"/>
        <w:jc w:val="center"/>
        <w:divId w:val="1450320109"/>
      </w:pPr>
      <w:r>
        <w:rPr>
          <w:rStyle w:val="a3"/>
          <w:sz w:val="28"/>
          <w:szCs w:val="28"/>
        </w:rPr>
        <w:t xml:space="preserve">Сельскохозяйственное производство </w:t>
      </w:r>
    </w:p>
    <w:p w:rsidR="00EC3C1B" w:rsidRDefault="00EC3C1B" w:rsidP="001F1010">
      <w:pPr>
        <w:spacing w:line="276" w:lineRule="auto"/>
        <w:jc w:val="both"/>
        <w:divId w:val="1450320109"/>
      </w:pPr>
      <w:r>
        <w:tab/>
      </w:r>
      <w:r w:rsidR="00954C8F" w:rsidRPr="008E0719">
        <w:t xml:space="preserve">Посев зерновых культур составил 5586 га, сокращение к уровню прошлого года составило 1855 га. Посев пшеницы - 2268 га, сокращение - 2453 га. Площадь ярового сева составила 26838 га, что составляет 95 % к уровню 2024 года. На долю АО «ПЗ «Бурлинский» приходится 6232 га или 23 %, ООО «АЛТЕКС» 2590 га или 10 %, К(Ф)Х Кулинич А.В. 3206 га или 12 %. от ярового сева. Сокращение посевных площадей произошло в АО «ПЗ «Бурлинский» на 1174 га, ООО «АЛТЕКС» 726 га и К(Ф)Х Веретенников А.В. на 1205 га к уровню 2024 года. Не получилось организовать полевые работы и в текущем году на арендуемых землях ООО «МОДЕРН-АГРО» и ООО «Северное Агроразвитие», в 2023 году - 0 га, в 2024 г. – 839 га.   Высокие цены и спрос на рынке технических и масленичных культур стимулировал расширение </w:t>
      </w:r>
      <w:r w:rsidR="00954C8F" w:rsidRPr="008E0719">
        <w:lastRenderedPageBreak/>
        <w:t>площадей под подсолнечником, льном, рапсом и новой культурой соей.Сельхозтоваропроизводители, адаптировавшись к рыночным условиям и располагая значительно меньшими объемами производства, выстраивают современную систему возделывания востребованных сельскохозяйственных культур. Проведя модернизацию материально-технической базы, сельхозтоваропроизводители продолжают процесс технического перевооружения. В обновление основных производственных фондов хозяйствами в 2025 году вложено собственных средств и кредитных ресурсов 197 млн. руб., приобретя техники и оборудования 41 единицу, в том числе 2 ед. зерносушильного оборудования, 2 трактора К-742, 1 зерноуборочный и 1 кормоуборочный комбайны.Сельхозорганизациями района выработана технология выращивания культур с использованием средств защиты растений и борьбы с вредителями. Общая площадь неоднократных обработок средствами защиты растений зерновых и технических культур составила более 36 тыс. га, с финансовыми затратами в сумме 69 млн. рублей. Минеральные удобрения были внесены ИП Дайрабаев М.М. на площади 1974 га. В сельхозпредприятиях всех форм собственности проведена определенная работа по закладке основ урожая 2026 года: вспахано паров и обработано зяби 12826 га.</w:t>
      </w:r>
    </w:p>
    <w:p w:rsidR="00EC3C1B" w:rsidRDefault="00EC3C1B" w:rsidP="001F1010">
      <w:pPr>
        <w:spacing w:line="276" w:lineRule="auto"/>
        <w:jc w:val="both"/>
        <w:divId w:val="1450320109"/>
      </w:pPr>
      <w:r>
        <w:tab/>
      </w:r>
      <w:r w:rsidR="00954C8F" w:rsidRPr="008E0719">
        <w:t xml:space="preserve">Государственная поддержка сельского хозяйства сохранена, но ее получение усложняется с каждым годом. Участниками государственной поддержки по итогам 2025 года стали два хозяйства, получившие 54 млн. руб., субсидий, что на 46 млн. руб. меньше уровня 2024 года. В том числе из федерального бюджета 1,7 млн. руб. и краевого бюджета 52,3 млн. руб. В основном субсидированы техническое перевооружение, несвязанная поддержка в области растениеводства. Ввиду обильных осадков в вегетационный период развития растений, в частности за июнь-сентябрь выпало 265 мм осадков или 85% от годовой </w:t>
      </w:r>
      <w:proofErr w:type="gramStart"/>
      <w:r w:rsidR="00954C8F" w:rsidRPr="008E0719">
        <w:t>нормы</w:t>
      </w:r>
      <w:proofErr w:type="gramEnd"/>
      <w:r w:rsidR="00954C8F" w:rsidRPr="008E0719">
        <w:t xml:space="preserve"> и данные условия благоприятно повлияли на рост и развитие сельскохозяйственных культур и сорной растительности. </w:t>
      </w:r>
    </w:p>
    <w:p w:rsidR="0074511A" w:rsidRPr="008E0719" w:rsidRDefault="00EC3C1B" w:rsidP="001F1010">
      <w:pPr>
        <w:spacing w:line="276" w:lineRule="auto"/>
        <w:jc w:val="both"/>
        <w:divId w:val="1450320109"/>
      </w:pPr>
      <w:r>
        <w:tab/>
      </w:r>
      <w:r w:rsidR="00954C8F" w:rsidRPr="008E0719">
        <w:t>По итогам сбора урожая зерновых культур урожайность составила 11,2 ц/га, что на 5 ц выше уровня прошлого года. Урожайность подсолнечника составила 12,9 ц/га, что 5,7 ц выше 2024 года.         Наивысшую урожайность данной культуры обеспечили ИП Дайрабаев М.М. - 39,4 ц/га, АО «ПЗ «Бурлинский» -17,3 ц/га, К(Ф)Х Кулинич А.В.- 15,7ц/га, ООО «АЛТЕКС» - 10ц/га, К(Ф)Х Веретенников А.В. – 10 ц/га. В АО «ПЗ «Бурлинский» обмолочена кукуруза на зерно с площади 140 га при урожайности 49 ц/га, которое направлено на корм животным.Заготовкой кормов занимались АО «ПЗ «Бурлинский», ООО «Лесное», ИП Дайрабаев М.М. На начало зимовки скота заготовлено 1400 тонн сена, 8658 тонн сенажа и силоса 5900 тонн. На 1 условную голову по району заготовлено 36,6 ц кормовых единиц, при плане 20 ц к. ед., без учета зернофуража. На данный момент в районе обеспечен двухгодовалый запас кормов с учетом переходящих запасов 2024 года.</w:t>
      </w:r>
      <w:r>
        <w:t xml:space="preserve"> </w:t>
      </w:r>
      <w:r w:rsidR="00954C8F" w:rsidRPr="008E0719">
        <w:t xml:space="preserve">Продолжалось сокращение стада крупного рогатого скота. Основными причинами такого положения являются ценовая политика, трудоемкость технологического процесса, дефицит кадров и низкий уровень рентабельности производства молока и мяса. Животноводством в районе занимаются 1 сельхозпредприятие (молочное направление) и 1 ИП (мясное направление), в которых по состоянию на 01.01.2026 года содержится 1615 голов КРС, в том числе: коров – 583 голова.Продуктивность дойного стада 3764 кг на корову (АППГ-3987 кг-94%). Производство молока   составило 1253 тонны.  Реализовано молока 1120 тонн, на 57 </w:t>
      </w:r>
      <w:r w:rsidR="00954C8F" w:rsidRPr="008E0719">
        <w:lastRenderedPageBreak/>
        <w:t>млн. руб., выручка от реализации увеличилась на 3 млн. руб., за счет увеличения закупочной цены на 16 рублей за кг.</w:t>
      </w:r>
    </w:p>
    <w:p w:rsidR="0074511A" w:rsidRDefault="0074511A" w:rsidP="008E0719">
      <w:pPr>
        <w:spacing w:before="240" w:after="240" w:line="276" w:lineRule="auto"/>
        <w:jc w:val="center"/>
        <w:divId w:val="1006633197"/>
      </w:pPr>
      <w:r>
        <w:rPr>
          <w:rStyle w:val="a3"/>
          <w:sz w:val="28"/>
          <w:szCs w:val="28"/>
        </w:rPr>
        <w:t xml:space="preserve">Реализация инвестиционных проектов на территории муниципального района </w:t>
      </w:r>
    </w:p>
    <w:p w:rsidR="00EC3C1B" w:rsidRDefault="00EC3C1B" w:rsidP="001F1010">
      <w:pPr>
        <w:spacing w:line="276" w:lineRule="auto"/>
        <w:jc w:val="both"/>
        <w:divId w:val="1006633197"/>
      </w:pPr>
      <w:r>
        <w:tab/>
      </w:r>
      <w:r w:rsidR="00954C8F" w:rsidRPr="00954C8F">
        <w:t xml:space="preserve">На территории района успешно реализуются государственные и 21 муниципальная программа с общим объёмом финансирования более 112,8 млн. рублей.  20254 году отмечается положительная тенденция в использовании одного из значимых и эффективных инструментов при решении социально-значимых для населения вопросов – участие в проектах поддержки местных инициатив. Это позволяет с учётом мнения и финансовых возможностей местного населения определить и исполнить наиболее востребованный комплекс мероприятий на территории района, села, при конкретной государственной финансовой поддержке. </w:t>
      </w:r>
    </w:p>
    <w:p w:rsidR="0074511A" w:rsidRPr="008E0719" w:rsidRDefault="00EC3C1B" w:rsidP="001F1010">
      <w:pPr>
        <w:spacing w:line="276" w:lineRule="auto"/>
        <w:jc w:val="both"/>
        <w:divId w:val="1006633197"/>
      </w:pPr>
      <w:r>
        <w:tab/>
      </w:r>
      <w:proofErr w:type="gramStart"/>
      <w:r w:rsidR="00954C8F" w:rsidRPr="00954C8F">
        <w:t>Проведенные в 2025 году 16 конкурентных закупок на сумму 207,4 млн. руб. Экономия бюджетных средств за счет проведенных закупочных процедур (снижение от начальной цены контрактов по результатам проведенных закупок) составила 3 млн. руб.</w:t>
      </w:r>
      <w:proofErr w:type="gramEnd"/>
    </w:p>
    <w:p w:rsidR="0074511A" w:rsidRDefault="0074511A" w:rsidP="008E0719">
      <w:pPr>
        <w:spacing w:before="240" w:after="240" w:line="276" w:lineRule="auto"/>
        <w:jc w:val="center"/>
        <w:divId w:val="672149918"/>
      </w:pPr>
      <w:r>
        <w:rPr>
          <w:rStyle w:val="a3"/>
          <w:sz w:val="28"/>
          <w:szCs w:val="28"/>
        </w:rPr>
        <w:t xml:space="preserve">Состояние малого и среднего предпринимательства, меры государственной поддержки малого и среднего предпринимательства </w:t>
      </w:r>
    </w:p>
    <w:p w:rsidR="00EC3C1B" w:rsidRDefault="00EC3C1B" w:rsidP="001F1010">
      <w:pPr>
        <w:spacing w:line="276" w:lineRule="auto"/>
        <w:jc w:val="both"/>
        <w:divId w:val="672149918"/>
      </w:pPr>
      <w:r>
        <w:tab/>
      </w:r>
      <w:r w:rsidR="001F1010" w:rsidRPr="001F1010">
        <w:t>Важнейшим фактором и перспективным направлением в улучшении социально-экономического развития района является укрепление малог</w:t>
      </w:r>
      <w:r>
        <w:t>о бизнеса. В районе действует 12</w:t>
      </w:r>
      <w:r w:rsidR="001F1010" w:rsidRPr="001F1010">
        <w:t>6 единиц субъектов среднего и малого пре</w:t>
      </w:r>
      <w:r>
        <w:t>дпринимательства.</w:t>
      </w:r>
      <w:r w:rsidR="001F1010" w:rsidRPr="001F1010">
        <w:t xml:space="preserve"> Работало 59 магазинов. Необходимо отметить, что  существенную корректировку в торговую предпринимательскую деятельность вносят  действующие сетевые супермаркеты «Мария-Ра», «Магнит», «Пятерочка», «Озон», «Валдбериз», наряду со значительным улучшением ассортимента и объемов оказываемых услуг населению, составившими очень серьезную конкуренцию мелким торговым точкам.</w:t>
      </w:r>
    </w:p>
    <w:p w:rsidR="0074511A" w:rsidRPr="001F1010" w:rsidRDefault="00EC3C1B" w:rsidP="001F1010">
      <w:pPr>
        <w:spacing w:line="276" w:lineRule="auto"/>
        <w:jc w:val="both"/>
        <w:divId w:val="672149918"/>
      </w:pPr>
      <w:r>
        <w:tab/>
      </w:r>
      <w:r w:rsidR="001F1010" w:rsidRPr="001F1010">
        <w:t>Осуществляет свою деятельность информационно-консультационный центр для поддержки предпринимательства (ИКЦ). В рамках его работы в 2025 году было оказано 159 консультационных, информационных и образовательных услуг субъектам малого и среднего предпринимательства.Реализована муниципальная программа «Развитие малого и среднего предпринимательства в Бурлинском районе на 2021-2025 годы». Реализация мероприятий муниципальной программы по развитию малого и среднего предпринимательства способствовала созданию 95 рабочих мест и сохранению 605 действующих рабочих мест.</w:t>
      </w:r>
      <w:r>
        <w:t xml:space="preserve"> </w:t>
      </w:r>
      <w:r w:rsidR="001F1010" w:rsidRPr="001F1010">
        <w:t xml:space="preserve">Существенное влияние на результативность деятельности сферы бизнеса в сельском, степном </w:t>
      </w:r>
      <w:proofErr w:type="gramStart"/>
      <w:r w:rsidR="001F1010" w:rsidRPr="001F1010">
        <w:t>районе</w:t>
      </w:r>
      <w:proofErr w:type="gramEnd"/>
      <w:r w:rsidR="001F1010" w:rsidRPr="001F1010">
        <w:t xml:space="preserve"> безусловно оказывают транспортная доступность, недостаточные потребительские способности населения, отсутствие центрального газоснабжения, высокая стоимость энергоресурсов и дефицит кадров работников. Явно не достает и предпринимательской активности для занятия имеющихся перспективных направлений деятельности в сферах переработки продукции и оказания услуг. На территории района, все же располагающего большими потенциальными возможностями для развития бизнеса, где практически отсутствует конкуренция, совершенно не реализуется имеющийся уникальный туристический </w:t>
      </w:r>
      <w:r w:rsidR="001F1010" w:rsidRPr="001F1010">
        <w:lastRenderedPageBreak/>
        <w:t>потенциал, не заняты ниши в организации производства и переработки сельскохозяйственной продукции, в развитии рыбоводческих хозяйств.</w:t>
      </w:r>
      <w:r>
        <w:t xml:space="preserve"> </w:t>
      </w:r>
      <w:r w:rsidR="001F1010" w:rsidRPr="001F1010">
        <w:t xml:space="preserve">Начало этой деятельности уже положено. Пользуется спросом и начала обустраиваться прибрежная пляжная зона на озерах </w:t>
      </w:r>
      <w:proofErr w:type="gramStart"/>
      <w:r w:rsidR="001F1010" w:rsidRPr="001F1010">
        <w:t>Песчаное</w:t>
      </w:r>
      <w:proofErr w:type="gramEnd"/>
      <w:r w:rsidR="001F1010" w:rsidRPr="001F1010">
        <w:t xml:space="preserve"> и </w:t>
      </w:r>
      <w:proofErr w:type="spellStart"/>
      <w:r w:rsidR="001F1010" w:rsidRPr="001F1010">
        <w:t>Хомутиное</w:t>
      </w:r>
      <w:proofErr w:type="spellEnd"/>
      <w:r w:rsidR="001F1010" w:rsidRPr="001F1010">
        <w:t>.</w:t>
      </w:r>
      <w:r>
        <w:t xml:space="preserve"> </w:t>
      </w:r>
      <w:r w:rsidR="001F1010" w:rsidRPr="001F1010">
        <w:t>Необходимо освободиться от формализма в работе с предпринимательским сообществом, где инициативный, работоспособный районный Совет предпринимателей, был бы способен не только рассматривать самые актуальные вопросы внутренней жизнедеятельности, но и развития района, определять механизм их внедрения в жизнь, непосредственно участвовать в этом. Следует уже планировать и готовиться к проведению профессионального праздника предпринимательства и организовать его на порядок интереснее и содержательнее, чем в прошлом году</w:t>
      </w:r>
      <w:proofErr w:type="gramStart"/>
      <w:r>
        <w:t xml:space="preserve"> </w:t>
      </w:r>
      <w:r w:rsidR="001F1010" w:rsidRPr="001F1010">
        <w:t>.</w:t>
      </w:r>
      <w:proofErr w:type="gramEnd"/>
      <w:r w:rsidR="001F1010" w:rsidRPr="001F1010">
        <w:t>Развитие перспективной рекреационно-туристической сферы может и должно стать важнейшим фактором роста экономики и привлекательности района, поскольку будет стимулировать развитие таких отраслей, как транспорт, общественное питание, гостиничный бизнес, сельское и дорожное хозяйство, художественные и народные промыслы.</w:t>
      </w:r>
      <w:r>
        <w:t xml:space="preserve"> </w:t>
      </w:r>
      <w:r w:rsidR="001F1010" w:rsidRPr="001F1010">
        <w:t>На территории района, все же располагающего большими потенциальными возможностями для развития бизнеса, где практически отсутствует конкуренция, совершенно не реализуется имеющийся уникальный туристический потенциал, не заняты ниши в организации производства и переработки сельскохозяйственной продукции, в развитии рыбоводческих хозяйств</w:t>
      </w:r>
      <w:proofErr w:type="gramStart"/>
      <w:r w:rsidR="001F1010" w:rsidRPr="001F1010">
        <w:t>.Н</w:t>
      </w:r>
      <w:proofErr w:type="gramEnd"/>
      <w:r w:rsidR="001F1010" w:rsidRPr="001F1010">
        <w:t>ачало этой деятельности уже положено. Пользуется спросом и начала обустраиваться прибрежная пляжная зона на озерах Песчаное и Хомутиное.</w:t>
      </w:r>
    </w:p>
    <w:p w:rsidR="0074511A" w:rsidRDefault="0074511A" w:rsidP="008E0719">
      <w:pPr>
        <w:spacing w:before="240" w:after="240" w:line="276" w:lineRule="auto"/>
        <w:jc w:val="center"/>
        <w:divId w:val="1356543834"/>
      </w:pPr>
      <w:r>
        <w:rPr>
          <w:rStyle w:val="a3"/>
          <w:sz w:val="28"/>
          <w:szCs w:val="28"/>
        </w:rPr>
        <w:t xml:space="preserve">Ситуация на рынке труда </w:t>
      </w:r>
    </w:p>
    <w:p w:rsidR="0074511A" w:rsidRPr="008E0719" w:rsidRDefault="00EC3C1B" w:rsidP="001F1010">
      <w:pPr>
        <w:spacing w:line="276" w:lineRule="auto"/>
        <w:jc w:val="both"/>
        <w:divId w:val="1356543834"/>
      </w:pPr>
      <w:r>
        <w:tab/>
      </w:r>
      <w:r w:rsidR="00954C8F" w:rsidRPr="008E0719">
        <w:t>Основным направлением работы является содействие обеспечению безопасных условий труда в организациях района. В районе действовала муниципальная программа «Улучшение условий и охраны труда в Бурлинском районе на 2021-2025 годы».   В 2025 году было проведено 2 заседания районной межведомственной комиссии по охране труда, на которых были рассмотрены 9 вопросов.Специалистом оказывается методическая помощь, в том числе предприятиям сельского хозяйства, по разработке и подбору необходимых документов (инструкции, методическая литература и т.д.).123 руководителя и специалиста по охране труда имеют действующие удостоверения по охране труда и пожарной безопасности, что составило 100 %.В период 2025 года случаев производственного травматизма не зарегистрировано. Согласно индикативным показателям уровень занятости инвалидов трудоспособного возраста, занятых трудовой деятельностью (без учета детей-инвалидов от 16 до 18 лет) на 2025 год составил 20,2% (по плану на 2025 год – 20,2). Численность трудоустроенных граждан, с которыми легализованы трудовые отношения на 31.12.2025 год составило 92 человека (по плану на 2025 год – 56 человек). В рамках муниципальной программы «Улучшение условий и охраны труда в Бурлинском районе» на 2021-2025 год», в целях формирования и популяризации культуры безопасного труда среди молодежи, в проведении ежегодного муниципального этапа регионального конкурса детского рисунка «Охрана труда глазами детей» (более 60 человек из 9 образовательных учреждений района в возрасте до 7 лет; 8-10 лет; 11-15 лет.) оказывалось содействие в финансировании (призы, подарки).</w:t>
      </w:r>
    </w:p>
    <w:p w:rsidR="0074511A" w:rsidRDefault="0074511A" w:rsidP="008E0719">
      <w:pPr>
        <w:spacing w:before="240" w:after="240" w:line="276" w:lineRule="auto"/>
        <w:jc w:val="center"/>
        <w:divId w:val="1611469857"/>
      </w:pPr>
      <w:r>
        <w:rPr>
          <w:rStyle w:val="a3"/>
          <w:sz w:val="28"/>
          <w:szCs w:val="28"/>
        </w:rPr>
        <w:lastRenderedPageBreak/>
        <w:t xml:space="preserve">Уровень жизни населения </w:t>
      </w:r>
    </w:p>
    <w:p w:rsidR="0074511A" w:rsidRPr="001F1010" w:rsidRDefault="00EC3C1B" w:rsidP="001F1010">
      <w:pPr>
        <w:spacing w:line="276" w:lineRule="auto"/>
        <w:jc w:val="both"/>
        <w:divId w:val="1611469857"/>
      </w:pPr>
      <w:r>
        <w:tab/>
      </w:r>
      <w:r w:rsidR="001F1010" w:rsidRPr="001F1010">
        <w:t xml:space="preserve">Была организована работа по привлечению населения в голосовании за населённые пункты, которые следует обеспечить мобильной связью 4G в 2025 году (проект «Устранение цифрового неравенства 2.0»). Голосование проходило в электронном виде на портале Госуслуг, однако отдать свой голос за тот или иной населенный пункт можно было и через обычную почту – отправив письмо в адрес Минцифры РФ. Глава Рожковского сельсовета </w:t>
      </w:r>
      <w:proofErr w:type="gramStart"/>
      <w:r w:rsidR="001F1010" w:rsidRPr="001F1010">
        <w:t>сельсовета</w:t>
      </w:r>
      <w:proofErr w:type="gramEnd"/>
      <w:r w:rsidR="001F1010" w:rsidRPr="001F1010">
        <w:t xml:space="preserve"> Бойко А.А. активно включился в работу, организовал активное участие населения, и, по итогу голосования, село Лесное оказалось на 14-м месте в рейтинге по краю, за него отдали свой голос 371 житель края. На данный момент специалистами «Ростелекома» уже проведено обследование сотовой связи в </w:t>
      </w:r>
      <w:proofErr w:type="gramStart"/>
      <w:r w:rsidR="001F1010" w:rsidRPr="001F1010">
        <w:t>Лесном</w:t>
      </w:r>
      <w:proofErr w:type="gramEnd"/>
      <w:r w:rsidR="001F1010" w:rsidRPr="001F1010">
        <w:t>, а, как показала практика, данная работа предшествует установке базовой станции сотовой связи. Так было в Орехово и Новоандреевке в прошлые годы, где уже население обеспечено качественной связью и мобильным интернетом. Продолжает оставаться болезненной тема неудовлетворительного состояния важнейших для населения района, удаленного от краевого центра, участков межрегиональных автомобильных дорог, связывающих район с ближайшими городами – Славгородом и Карасуком. А это напрямую отражается на уровне доступности наших граждан для получения жизненно необходимых услуг, решение производственных и служебных вопросов предприятиями и организациями, не говоря уже о транзитных грузоперевозках и придорожном сервисе.           Не улучшается в целом демографическая ситуация. За год население района сократилось на 112 человек, и его численность по состоянию на 01.01.2026 года составила ориентировочно 7247 человек. Остро стоят вопросы кадрового обеспечения специалистами в здравоохранении, образовании, сельском хозяйстве и др. Большинство  жизненно-важных для нашего населения вопросов и проблем  находило понимание и определенную поддержку, что способствовало их успешному решению. Вся организаторская работа, проводимая Администрацией района, все планы программы и проекты развития района были направлены на улучшение качества жизни наших граждан.</w:t>
      </w:r>
    </w:p>
    <w:p w:rsidR="0074511A" w:rsidRDefault="0074511A" w:rsidP="008E0719">
      <w:pPr>
        <w:spacing w:before="240" w:after="240" w:line="276" w:lineRule="auto"/>
        <w:jc w:val="center"/>
        <w:divId w:val="1437944105"/>
      </w:pPr>
      <w:r>
        <w:rPr>
          <w:rStyle w:val="a3"/>
          <w:sz w:val="28"/>
          <w:szCs w:val="28"/>
        </w:rPr>
        <w:t xml:space="preserve">Состояние местных бюджетов </w:t>
      </w:r>
    </w:p>
    <w:p w:rsidR="00EC3C1B" w:rsidRDefault="00EC3C1B" w:rsidP="001F1010">
      <w:pPr>
        <w:spacing w:line="276" w:lineRule="auto"/>
        <w:jc w:val="both"/>
        <w:divId w:val="1437944105"/>
      </w:pPr>
      <w:r>
        <w:tab/>
      </w:r>
      <w:r w:rsidR="00954C8F" w:rsidRPr="008E0719">
        <w:t>Основными направлениями в решения задач по обеспечению освоения доходного потенциала бюджета Бурлинского района определены</w:t>
      </w:r>
      <w:proofErr w:type="gramStart"/>
      <w:r w:rsidR="00954C8F" w:rsidRPr="008E0719">
        <w:t>:п</w:t>
      </w:r>
      <w:proofErr w:type="gramEnd"/>
      <w:r w:rsidR="00954C8F" w:rsidRPr="008E0719">
        <w:t>овышение качества взаимодействия с главными администраторами  доходов бюджета Бурлинского района в целях повышения их ответственности за правильность исчисления, полноту и своевременность осуществления платежей в бюджет;совершенствование системы управления муниципальной собственностью, включая земельные участки, обеспечение ее качественного учета и  контроля  использования;своевременная претензионная работа, подготовка документов в судебные органы по взысканию задолженности и привлечению к ответственности неплательщиков по арендным платежам за пользование муниципальным имуществом, включая земельные участки;привлечение инвесторов и инвестиций для организации производства и бизнеса, вовлечения в оборот земель сельхозназначения;повышение ставки арендной платы за 1 га земель сельскохозяйственного назначения</w:t>
      </w:r>
      <w:proofErr w:type="gramStart"/>
      <w:r w:rsidR="00954C8F" w:rsidRPr="008E0719">
        <w:t>.Б</w:t>
      </w:r>
      <w:proofErr w:type="gramEnd"/>
      <w:r w:rsidR="00954C8F" w:rsidRPr="008E0719">
        <w:t xml:space="preserve">юджетная политика сохраняет преемственность задач прошлых периодов. Как и в предыдущие годы, расходная часть бюджета </w:t>
      </w:r>
      <w:r w:rsidR="00954C8F" w:rsidRPr="008E0719">
        <w:lastRenderedPageBreak/>
        <w:t xml:space="preserve">Бурлинского  района сохраняет свою социальную направленность, когда более половины (68 %) всех расходов ежегодно направляется на финансирование социального блока: образование, культура, социальная политика, физическая культура и спорт. </w:t>
      </w:r>
    </w:p>
    <w:p w:rsidR="00EC3C1B" w:rsidRDefault="00EC3C1B" w:rsidP="001F1010">
      <w:pPr>
        <w:spacing w:line="276" w:lineRule="auto"/>
        <w:jc w:val="both"/>
        <w:divId w:val="1437944105"/>
      </w:pPr>
      <w:r>
        <w:tab/>
      </w:r>
      <w:r w:rsidR="00954C8F" w:rsidRPr="008E0719">
        <w:t>Не менее значимыми являются расходы на решение вопросов дорожной деятельности, жилищно – коммунального хозяйства и других  отраслей – 31,5 %.Главными целями и задачами бюджетной политики муниципального образования Бурлинский  район Алтайского края в 2025 году являлись</w:t>
      </w:r>
      <w:proofErr w:type="gramStart"/>
      <w:r w:rsidR="00954C8F" w:rsidRPr="008E0719">
        <w:t>:о</w:t>
      </w:r>
      <w:proofErr w:type="gramEnd"/>
      <w:r w:rsidR="00954C8F" w:rsidRPr="008E0719">
        <w:t>беспечение сбалансированности доходных источников и расходных обязательств бюджета Бурлинского района;закрепление положительных результатов, достигнутых при формировании и исполнении бюджета Бурлинского района за предыдущие годы;повышение ответственности муниципальных учреждений за невыполнение муниципального задания и недостижение показателей, установленных в муниципальном задании;</w:t>
      </w:r>
      <w:r>
        <w:t xml:space="preserve"> </w:t>
      </w:r>
      <w:r w:rsidR="00954C8F" w:rsidRPr="008E0719">
        <w:t>повышение прозрачности и открытости бюджета и бюджетного процесса, а так же доступности сведений о муниципальных финансах Бурлинского района;</w:t>
      </w:r>
      <w:r>
        <w:t xml:space="preserve"> </w:t>
      </w:r>
      <w:r w:rsidR="00954C8F" w:rsidRPr="008E0719">
        <w:t>совершенствование внутреннего муниципального финансового контроля в сфере бюджетных правоотношений, повышение его эффективности</w:t>
      </w:r>
      <w:proofErr w:type="gramStart"/>
      <w:r w:rsidR="00954C8F" w:rsidRPr="008E0719">
        <w:t>;р</w:t>
      </w:r>
      <w:proofErr w:type="gramEnd"/>
      <w:r w:rsidR="00954C8F" w:rsidRPr="008E0719">
        <w:t>азвитие инициативного бюджетирования в Бурлинском районе в целях вовлечения граждан в решение первоочередных проблем местного значения и повышения уровня доверия к власти;</w:t>
      </w:r>
      <w:r>
        <w:t xml:space="preserve"> </w:t>
      </w:r>
      <w:r w:rsidR="00954C8F" w:rsidRPr="008E0719">
        <w:t>эффективное и рациональное использование финансовых средств и материальных ресурсов;</w:t>
      </w:r>
      <w:r>
        <w:t xml:space="preserve"> </w:t>
      </w:r>
      <w:r w:rsidR="00954C8F" w:rsidRPr="008E0719">
        <w:t>ликвидация просроченной кредиторской задолженности. </w:t>
      </w:r>
    </w:p>
    <w:p w:rsidR="0074511A" w:rsidRPr="008E0719" w:rsidRDefault="00EC3C1B" w:rsidP="001F1010">
      <w:pPr>
        <w:spacing w:line="276" w:lineRule="auto"/>
        <w:jc w:val="both"/>
        <w:divId w:val="1437944105"/>
      </w:pPr>
      <w:r>
        <w:tab/>
      </w:r>
      <w:r w:rsidR="00954C8F" w:rsidRPr="008E0719">
        <w:t>В целом, не смотря на определенную напряженность районного бюджета 2025 года, принятого с дефицитом, удалось успешно справиться с его исполнением, как по доходам, так и по расходам, обеспечив устойчивое финансирование всех необходимых расхо</w:t>
      </w:r>
      <w:r>
        <w:t>дных обязательств. </w:t>
      </w:r>
      <w:r w:rsidR="00954C8F" w:rsidRPr="008E0719">
        <w:t>Благодаря определенному росту собственных доходов и привлечению краевой поддержки была погашена долгосрочная реструктуризированная кредиторская задолженность за резервный уголь, которая на 01.01.2025 года составляла 6160,8 тыс. рублей. Своевременно произведены расчеты за приобретенный для отопления района  и поставленный уголь на сумму более 20 млн. рублей, что позволило обеспечить своевременную и бесперебойную подачу тепла потребителям района.Доходы консолидированного бюджета района в 2025 году составили 620,222 млн. рублей, в том числе собственные доходы 105,3 млн. рублей при плане 101,4 млн. рублей. План по сбору собственных доходов в консолидированный бюджет выполнен на 103,9 %, дополнительно получено 3,95 млн. рублей собственных доходов. Собственных доходов в 2025 году в консолидированный бюджет района поступило на 20,7 млн. рублей больше, чем в предыдущем 2024 году (или на 24,4%).</w:t>
      </w:r>
    </w:p>
    <w:p w:rsidR="0074511A" w:rsidRDefault="0074511A" w:rsidP="008E0719">
      <w:pPr>
        <w:spacing w:before="240" w:after="240" w:line="276" w:lineRule="auto"/>
        <w:jc w:val="center"/>
        <w:divId w:val="1904366202"/>
      </w:pPr>
      <w:r>
        <w:rPr>
          <w:rStyle w:val="a3"/>
          <w:sz w:val="28"/>
          <w:szCs w:val="28"/>
        </w:rPr>
        <w:t xml:space="preserve">Жилищно-коммунальное хозяйство </w:t>
      </w:r>
    </w:p>
    <w:p w:rsidR="00EC3C1B" w:rsidRDefault="00EC3C1B" w:rsidP="001F1010">
      <w:pPr>
        <w:spacing w:line="276" w:lineRule="auto"/>
        <w:jc w:val="both"/>
        <w:divId w:val="1904366202"/>
      </w:pPr>
      <w:r>
        <w:tab/>
      </w:r>
      <w:r w:rsidR="001F1010" w:rsidRPr="00EC3C1B">
        <w:t>Постоянного внимания и максимальной степени ответственности требует от местной власти исполнение полномочий по решению актуальных вопросов в сферах жилищно-коммунального и дорожного хозяйства, строительства, реконструкции и ремонта социально-значимых объектов на территории района, созданию условий для предоставления качественных услуг населению в этих важнейших сферах жизнеобеспечения.</w:t>
      </w:r>
      <w:r>
        <w:t xml:space="preserve"> </w:t>
      </w:r>
      <w:r w:rsidR="001F1010" w:rsidRPr="00EC3C1B">
        <w:t xml:space="preserve">Это очевидно, поскольку предоставление качественных </w:t>
      </w:r>
      <w:r w:rsidR="001F1010" w:rsidRPr="00EC3C1B">
        <w:lastRenderedPageBreak/>
        <w:t>коммунальных услуг потребителям, а это в основном бюджетная сфера, требует направления достаточно большого объема финансовых средств, составляющих значительную долю в расходных обязательствах районного бюджета, порядка 40 млн. рублей.</w:t>
      </w:r>
      <w:r w:rsidR="001F1010">
        <w:rPr>
          <w:lang w:val="en-US"/>
        </w:rPr>
        <w:t> </w:t>
      </w:r>
      <w:r w:rsidR="001F1010" w:rsidRPr="00EC3C1B">
        <w:t xml:space="preserve"> Да и требования к уровню оказания коммунальных услуг потребителям различного уровня, вместе с ценами постоянно растут.</w:t>
      </w:r>
      <w:r w:rsidR="001F1010">
        <w:rPr>
          <w:lang w:val="en-US"/>
        </w:rPr>
        <w:t> </w:t>
      </w:r>
      <w:r w:rsidR="001F1010" w:rsidRPr="00EC3C1B">
        <w:t xml:space="preserve"> Достигнув определенных результатов, мы переходим на новый уровень.</w:t>
      </w:r>
      <w:r>
        <w:t xml:space="preserve"> </w:t>
      </w:r>
      <w:r w:rsidR="001F1010" w:rsidRPr="00EC3C1B">
        <w:t>Администрация района в условиях дефицита собственных средств, старалась максимально использовать имеющиеся возможности для привлечения на эти цели краевых и федеральных инвестиций с учётом минимального долевого участия местного бюджета.</w:t>
      </w:r>
      <w:r>
        <w:t xml:space="preserve"> </w:t>
      </w:r>
      <w:r w:rsidR="001F1010" w:rsidRPr="00EC3C1B">
        <w:t>Системная работа муниципалитета в отрасли жилищно-коммунального хозяйства района в последние годы позволила добиться ощутимых позитивных результатов. Кардинально улучшилась ситуация в организации теплоснабжения, водоснабжения потребителей районного центра и ряда сельских населенных пунктов, решаются вопросы с поставками угля, начали освещаться и благоустраиваться наши улицы.</w:t>
      </w:r>
      <w:r>
        <w:t xml:space="preserve"> </w:t>
      </w:r>
      <w:r w:rsidR="001F1010" w:rsidRPr="00EC3C1B">
        <w:t>Основную нагрузку по подготовке и организации всего комплекса программы строительства, ремонтов и реконструкций объектов социальной сферы и жилищно-коммунального хозяйства несет отдел архитектуры и градостроительства Администрации района во взаимодействии с отделом жилищно-коммунального хозяйства и другими уполномоченными структурами. Благодаря их активной деятельности было обеспеченно квалифицированное и достаточно трудоёмкое сопровождение проектно-сметных работ, координация и контроль исполнения строительно-монтажных работ, осуществляемых подрядными организациями в соответствии с муниципальными контрактами.</w:t>
      </w:r>
      <w:r>
        <w:t xml:space="preserve"> </w:t>
      </w:r>
      <w:r w:rsidR="001F1010" w:rsidRPr="00EC3C1B">
        <w:t>Главными ориентирами в этой деятельности служили: повышение эффективности и надёжности функционирования объектов жилищно-коммунального хозяйства, социальной сферы, уровень благоустройства, создание комфортных условий для проживания наших граждан.</w:t>
      </w:r>
      <w:r>
        <w:t xml:space="preserve"> </w:t>
      </w:r>
    </w:p>
    <w:p w:rsidR="00EC3C1B" w:rsidRDefault="00EC3C1B" w:rsidP="001F1010">
      <w:pPr>
        <w:spacing w:line="276" w:lineRule="auto"/>
        <w:jc w:val="both"/>
        <w:divId w:val="1904366202"/>
      </w:pPr>
      <w:r>
        <w:tab/>
      </w:r>
      <w:r w:rsidR="001F1010" w:rsidRPr="00EC3C1B">
        <w:t>В целом за отчетный период в рамках реализации краевых и муниципальных программ по укреплению и модернизации материально-технической базы бюджетной и коммунальной инфраструктуры, благоустройству, Администрацией района привлечено и освоено из различных источников более 130,9 млн. рублей.</w:t>
      </w:r>
      <w:r>
        <w:t xml:space="preserve"> </w:t>
      </w:r>
      <w:proofErr w:type="gramStart"/>
      <w:r w:rsidR="001F1010" w:rsidRPr="00EC3C1B">
        <w:t>В том числе:- 36,8</w:t>
      </w:r>
      <w:r w:rsidR="001F1010">
        <w:rPr>
          <w:lang w:val="en-US"/>
        </w:rPr>
        <w:t> </w:t>
      </w:r>
      <w:r w:rsidR="001F1010" w:rsidRPr="00EC3C1B">
        <w:t>млн. рублей – для капитального ремонта тепловых сетей в с. Бурла;- 37,6</w:t>
      </w:r>
      <w:r w:rsidR="001F1010">
        <w:rPr>
          <w:lang w:val="en-US"/>
        </w:rPr>
        <w:t> </w:t>
      </w:r>
      <w:r w:rsidR="001F1010" w:rsidRPr="00EC3C1B">
        <w:t xml:space="preserve">млн. рублей – для капитального ремонта тепловых сетей в с. Михайловка;- 27,8 млн. рублей – для капитального ремонта водозаборного сооружения в с. Лесное;- 18,7 млн. рублей – для капитального ремонта водопровода в с. </w:t>
      </w:r>
      <w:proofErr w:type="spellStart"/>
      <w:r w:rsidR="001F1010" w:rsidRPr="00EC3C1B">
        <w:t>Новопесчаное</w:t>
      </w:r>
      <w:proofErr w:type="spellEnd"/>
      <w:r w:rsidR="001F1010" w:rsidRPr="00EC3C1B">
        <w:t>;</w:t>
      </w:r>
      <w:r>
        <w:t xml:space="preserve"> </w:t>
      </w:r>
      <w:r w:rsidR="001F1010" w:rsidRPr="00EC3C1B">
        <w:t xml:space="preserve">- 1,3 млн. рублей – для благоустройства кладбища в с. </w:t>
      </w:r>
      <w:proofErr w:type="spellStart"/>
      <w:r w:rsidR="001F1010" w:rsidRPr="00EC3C1B">
        <w:t>Асямовка</w:t>
      </w:r>
      <w:proofErr w:type="spellEnd"/>
      <w:r w:rsidR="001F1010" w:rsidRPr="00EC3C1B">
        <w:t xml:space="preserve"> (ГРАНТ);</w:t>
      </w:r>
      <w:proofErr w:type="gramEnd"/>
      <w:r w:rsidR="001F1010" w:rsidRPr="00EC3C1B">
        <w:t xml:space="preserve">- </w:t>
      </w:r>
      <w:proofErr w:type="gramStart"/>
      <w:r w:rsidR="001F1010" w:rsidRPr="00EC3C1B">
        <w:t xml:space="preserve">8,7 млн. рублей – для благоустройства пешеходной зоны и оборудования </w:t>
      </w:r>
      <w:proofErr w:type="spellStart"/>
      <w:r w:rsidR="001F1010" w:rsidRPr="00EC3C1B">
        <w:t>скейтплощадки</w:t>
      </w:r>
      <w:proofErr w:type="spellEnd"/>
      <w:r w:rsidR="001F1010" w:rsidRPr="00EC3C1B">
        <w:t xml:space="preserve"> в с. Бурла в рамках проекта Формирование современной городской среды;- начало капитального ремонта </w:t>
      </w:r>
      <w:r w:rsidR="001F1010">
        <w:rPr>
          <w:lang w:val="en-US"/>
        </w:rPr>
        <w:t> </w:t>
      </w:r>
      <w:r w:rsidR="001F1010" w:rsidRPr="00EC3C1B">
        <w:t xml:space="preserve">школы </w:t>
      </w:r>
      <w:r w:rsidR="001F1010">
        <w:rPr>
          <w:lang w:val="en-US"/>
        </w:rPr>
        <w:t> </w:t>
      </w:r>
      <w:r w:rsidR="001F1010" w:rsidRPr="00EC3C1B">
        <w:t xml:space="preserve">в </w:t>
      </w:r>
      <w:r w:rsidR="001F1010">
        <w:rPr>
          <w:lang w:val="en-US"/>
        </w:rPr>
        <w:t> </w:t>
      </w:r>
      <w:r w:rsidR="001F1010" w:rsidRPr="00EC3C1B">
        <w:t>с. Бурла;</w:t>
      </w:r>
      <w:r>
        <w:t xml:space="preserve"> </w:t>
      </w:r>
      <w:r w:rsidR="001F1010" w:rsidRPr="00EC3C1B">
        <w:t>В пределах утвержденных объемов финансирования проведены работы в дорожном хозяйстве района.</w:t>
      </w:r>
      <w:proofErr w:type="gramEnd"/>
      <w:r>
        <w:t xml:space="preserve"> </w:t>
      </w:r>
      <w:r w:rsidR="001F1010" w:rsidRPr="00EC3C1B">
        <w:t xml:space="preserve">Протяжённость межрегиональных дорог на территории района, которые обслуживает Бурлинский участок </w:t>
      </w:r>
      <w:proofErr w:type="spellStart"/>
      <w:r w:rsidR="001F1010" w:rsidRPr="00EC3C1B">
        <w:t>Завьяловского</w:t>
      </w:r>
      <w:proofErr w:type="spellEnd"/>
      <w:r w:rsidR="001F1010" w:rsidRPr="00EC3C1B">
        <w:t xml:space="preserve"> ДРСУ, составляет 251 км.</w:t>
      </w:r>
      <w:r>
        <w:t xml:space="preserve"> </w:t>
      </w:r>
      <w:r w:rsidR="001F1010" w:rsidRPr="00EC3C1B">
        <w:t>В течение года было направлено на их содержание 40,615 млн. рублей, что несколько меньше прошлогоднего.</w:t>
      </w:r>
      <w:r w:rsidR="001F1010">
        <w:rPr>
          <w:lang w:val="en-US"/>
        </w:rPr>
        <w:t> </w:t>
      </w:r>
      <w:r w:rsidR="001F1010" w:rsidRPr="00EC3C1B">
        <w:t xml:space="preserve"> В то же время, дополнительные средства в сумме 462,222 млн</w:t>
      </w:r>
      <w:proofErr w:type="gramStart"/>
      <w:r w:rsidR="001F1010" w:rsidRPr="00EC3C1B">
        <w:t>.р</w:t>
      </w:r>
      <w:proofErr w:type="gramEnd"/>
      <w:r w:rsidR="001F1010" w:rsidRPr="00EC3C1B">
        <w:t>ублей были направлены на капитальный ремонт 14,0 км дороги от переезда в сторону Бурлы.</w:t>
      </w:r>
      <w:r w:rsidR="001F1010">
        <w:rPr>
          <w:lang w:val="en-US"/>
        </w:rPr>
        <w:t> </w:t>
      </w:r>
      <w:r w:rsidR="001F1010" w:rsidRPr="00EC3C1B">
        <w:t>Ремонт дорожного полотна проводился в рамках регламента содержания дорог.</w:t>
      </w:r>
      <w:r>
        <w:t xml:space="preserve"> </w:t>
      </w:r>
      <w:r w:rsidR="001F1010" w:rsidRPr="00EC3C1B">
        <w:t xml:space="preserve">Осознавая нарастающую в нынешних условиях потребность обеспечения доступности граждан для решения своих жизненных </w:t>
      </w:r>
      <w:r w:rsidR="001F1010" w:rsidRPr="00EC3C1B">
        <w:lastRenderedPageBreak/>
        <w:t xml:space="preserve">проблем, Администрация района прилагает максимум усилий для привлечения внимания Минтранса и </w:t>
      </w:r>
      <w:proofErr w:type="spellStart"/>
      <w:r w:rsidR="001F1010" w:rsidRPr="00EC3C1B">
        <w:t>Алтайавтодора</w:t>
      </w:r>
      <w:proofErr w:type="spellEnd"/>
      <w:r w:rsidR="001F1010" w:rsidRPr="00EC3C1B">
        <w:t xml:space="preserve"> к необходимости коренного улучшения технического состояния межрегиональных автодорог в направлении Славгорода, Карасука, </w:t>
      </w:r>
      <w:proofErr w:type="spellStart"/>
      <w:r w:rsidR="001F1010" w:rsidRPr="00EC3C1B">
        <w:t>Подсосново</w:t>
      </w:r>
      <w:proofErr w:type="spellEnd"/>
      <w:r w:rsidR="001F1010" w:rsidRPr="00EC3C1B">
        <w:t>. По имеющимся официальным сведениям в 2026 году планируется капитальный ремонт ещё 10,7 км автодороги в сторону Бурлы.</w:t>
      </w:r>
      <w:r>
        <w:t xml:space="preserve"> </w:t>
      </w:r>
      <w:r w:rsidR="001F1010" w:rsidRPr="00EC3C1B">
        <w:t>Транспортное обслуживание населения района осуществляется муниципальным автобусом по согласованным с руководителями сельсоветов маршрутам пассажирских перевозок, не смотря на серьезные убытки от этой деятельности, сумма которых за 2025 год составила 1,0 млн. рублей.</w:t>
      </w:r>
      <w:r>
        <w:t xml:space="preserve"> </w:t>
      </w:r>
      <w:r w:rsidR="001F1010" w:rsidRPr="00EC3C1B">
        <w:t>Полномочия по содержанию 208,1 км муниципальных дорог исполняли Администрация района и все администрации сельсоветов.</w:t>
      </w:r>
      <w:r w:rsidR="001F1010">
        <w:rPr>
          <w:lang w:val="en-US"/>
        </w:rPr>
        <w:t> </w:t>
      </w:r>
      <w:r w:rsidR="001F1010" w:rsidRPr="00EC3C1B">
        <w:t xml:space="preserve"> В 2025 году на их содержание было направлено 19,47 млн. рублей средств дорожного фонда, что далеко недостаточно для обеспечения выполнения действующих расчетных нормативов и при существенном росте затрат в условиях повышения цен на расходные строительные материалы и услуги спецтехники. На ремонте улично-дорожной сети в районном центре Бурла освоено 14,3 млн. рублей, в т.ч. 11,9 млн. средств из краевого бюджета и 2,4 млн. рублей - местного бюджета. Был выполнен капитальный ремонт тротуара около центра детского творчества за 1,2 млн. рублей.</w:t>
      </w:r>
      <w:r>
        <w:t xml:space="preserve"> </w:t>
      </w:r>
      <w:r w:rsidR="001F1010" w:rsidRPr="00EC3C1B">
        <w:t>В результате, капитально отремонтированы участки дорожного полотна переулка Вокзального и въезда в Бурлу.</w:t>
      </w:r>
      <w:r>
        <w:t xml:space="preserve"> </w:t>
      </w:r>
      <w:r w:rsidR="001F1010" w:rsidRPr="00EC3C1B">
        <w:t xml:space="preserve">Сельским муниципальным образованиям в рамках исполнения ими полномочий направлено на содержание дорог 3,2 млн. рублей, что чуть больше уровня прошлого </w:t>
      </w:r>
      <w:proofErr w:type="spellStart"/>
      <w:r w:rsidR="001F1010" w:rsidRPr="00EC3C1B">
        <w:t>года</w:t>
      </w:r>
      <w:proofErr w:type="gramStart"/>
      <w:r w:rsidR="001F1010" w:rsidRPr="00EC3C1B">
        <w:t>.В</w:t>
      </w:r>
      <w:proofErr w:type="spellEnd"/>
      <w:proofErr w:type="gramEnd"/>
      <w:r w:rsidR="001F1010" w:rsidRPr="00EC3C1B">
        <w:t xml:space="preserve"> то же время, фактическое наличие средств районного дорожного фонда далеко недостаточно для исполнения муниципальных полномочий по обслуживанию и содержанию автодорог в населенных пунктах. С учетом ужесточающихся требований действующего законодательства и надзирающих структур необходимо финансовое сопровождение на эти цели в десятки раз превышающее сегодняшнее. Надо устанавливать дорожные знаки, оборудовать пешеходные переходы, оформлять правоустанавливающую документацию. На элементарное текущее обслуживание и содержание поселковых дорог практически ничего не остается.</w:t>
      </w:r>
      <w:r>
        <w:t xml:space="preserve"> </w:t>
      </w:r>
      <w:r w:rsidR="001F1010" w:rsidRPr="00EC3C1B">
        <w:t>В 2025 году все сельсоветы завершили выполнение судебного решения об обязательном проведении инструментального обследования муниципальных автодорог (диагностики). На эти цели пришлось потратить 1,1 млн. рублей, которые можно было бы направить на текущее содержание сельских дорог. Безусловно, для успешного решения вопросов содержания автодорог в населённых пунктах, в том числе и в зимний период, муниципальным властям необходимо в рамках делового сотрудничества привлекать для этих целей всех хозяйствующих субъектов, располагающих спецтехникой, и кроме того, оснащение специализированной дорожной техникой для муниципальных нужд.</w:t>
      </w:r>
      <w:r w:rsidR="001F1010">
        <w:rPr>
          <w:lang w:val="en-US"/>
        </w:rPr>
        <w:t> </w:t>
      </w:r>
    </w:p>
    <w:p w:rsidR="00EC3C1B" w:rsidRDefault="00EC3C1B" w:rsidP="001F1010">
      <w:pPr>
        <w:spacing w:line="276" w:lineRule="auto"/>
        <w:jc w:val="both"/>
        <w:divId w:val="1904366202"/>
      </w:pPr>
      <w:r>
        <w:tab/>
      </w:r>
      <w:r w:rsidR="001F1010" w:rsidRPr="00EC3C1B">
        <w:t>Кроме всего прочего, Администрацией района осуществлялась плановая работа по подготовке нормативной и документальной базы для реализации программы ремонтов и технического перевооружения в 2026 году, которая уже дала положительные результаты.</w:t>
      </w:r>
      <w:r>
        <w:t xml:space="preserve"> </w:t>
      </w:r>
      <w:r w:rsidR="001F1010" w:rsidRPr="00EC3C1B">
        <w:t xml:space="preserve">Подготовлена необходимая техническая документация с экспертизой по проведению капитального ремонта тепловых сетей в селе Новосельское, ещё 4 км сетей водопровода в </w:t>
      </w:r>
      <w:proofErr w:type="spellStart"/>
      <w:r w:rsidR="001F1010" w:rsidRPr="00EC3C1B">
        <w:t>с</w:t>
      </w:r>
      <w:proofErr w:type="gramStart"/>
      <w:r w:rsidR="001F1010" w:rsidRPr="00EC3C1B">
        <w:t>.Н</w:t>
      </w:r>
      <w:proofErr w:type="gramEnd"/>
      <w:r w:rsidR="001F1010" w:rsidRPr="00EC3C1B">
        <w:t>овопесчаное</w:t>
      </w:r>
      <w:proofErr w:type="spellEnd"/>
      <w:r w:rsidR="001F1010" w:rsidRPr="00EC3C1B">
        <w:t>.</w:t>
      </w:r>
      <w:r>
        <w:t xml:space="preserve"> </w:t>
      </w:r>
      <w:r w:rsidR="001F1010" w:rsidRPr="00EC3C1B">
        <w:t xml:space="preserve">В связи с необходимостью неотложного выполнения действующего законодательства в сфере градостроительства осуществлялись необходимые меры по формированию и приведению в соответствие с требованиями правоустанавливающей градостроительной документации, включая постановку на </w:t>
      </w:r>
      <w:r w:rsidR="001F1010" w:rsidRPr="00EC3C1B">
        <w:lastRenderedPageBreak/>
        <w:t>кадастровый учет территориальных зон и внесение изменений в правила застройки землепользования.</w:t>
      </w:r>
      <w:r>
        <w:t xml:space="preserve"> </w:t>
      </w:r>
      <w:r w:rsidR="001F1010" w:rsidRPr="00EC3C1B">
        <w:t>В 2025 году был введен в эксплуатацию один индивидуальный жилой дом</w:t>
      </w:r>
      <w:r w:rsidR="001F1010">
        <w:rPr>
          <w:lang w:val="en-US"/>
        </w:rPr>
        <w:t> </w:t>
      </w:r>
      <w:r w:rsidR="001F1010" w:rsidRPr="00EC3C1B">
        <w:t xml:space="preserve"> в селе Бурла общей площадью 98,1 кв. метров. На начало 2026 года в районе в стадии строительства находятся 2 </w:t>
      </w:r>
      <w:proofErr w:type="gramStart"/>
      <w:r w:rsidR="001F1010" w:rsidRPr="00EC3C1B">
        <w:t>индивидуальных</w:t>
      </w:r>
      <w:proofErr w:type="gramEnd"/>
      <w:r w:rsidR="001F1010" w:rsidRPr="00EC3C1B">
        <w:t xml:space="preserve"> жилых дома.</w:t>
      </w:r>
      <w:r>
        <w:t xml:space="preserve"> </w:t>
      </w:r>
      <w:r w:rsidR="001F1010" w:rsidRPr="00EC3C1B">
        <w:t>Благодаря системной и настойчивой работе Администрации района и ряда сельских поселений по укреплению и совершенствованию деятельности в сфере жилищно-коммунального хозяйства, за последние годы удалось добиться вполне определённых положительных результатов в организации устойчивого тепло- и водоснабжения потребителей района.</w:t>
      </w:r>
      <w:r>
        <w:t xml:space="preserve"> </w:t>
      </w:r>
      <w:r w:rsidR="001F1010" w:rsidRPr="00EC3C1B">
        <w:t>Для своевременной подготовки теплового комплекса района к отопительному периоду 2025-2026 годов Администрацией района было направлено более 86 млн. рублей собственных, региональных и федеральных средств.</w:t>
      </w:r>
      <w:r w:rsidR="001F1010">
        <w:rPr>
          <w:lang w:val="en-US"/>
        </w:rPr>
        <w:t> </w:t>
      </w:r>
      <w:r w:rsidR="001F1010" w:rsidRPr="00EC3C1B">
        <w:t xml:space="preserve"> В результате приобретено на сумму 1,57 млн. рублей </w:t>
      </w:r>
      <w:r w:rsidR="001F1010">
        <w:rPr>
          <w:lang w:val="en-US"/>
        </w:rPr>
        <w:t> </w:t>
      </w:r>
      <w:r w:rsidR="001F1010" w:rsidRPr="00EC3C1B">
        <w:t xml:space="preserve">котельное оборудование, которое установлено в котельных сел Бурла и Михайловка. В котельной села </w:t>
      </w:r>
      <w:proofErr w:type="spellStart"/>
      <w:r w:rsidR="001F1010" w:rsidRPr="00EC3C1B">
        <w:t>Устьянка</w:t>
      </w:r>
      <w:proofErr w:type="spellEnd"/>
      <w:r w:rsidR="001F1010" w:rsidRPr="00EC3C1B">
        <w:t xml:space="preserve"> установлены 2 котла Квр-0.63, приобретенные в декабре 2024 года.</w:t>
      </w:r>
      <w:r>
        <w:t xml:space="preserve"> </w:t>
      </w:r>
      <w:r w:rsidR="001F1010" w:rsidRPr="00EC3C1B">
        <w:t>На сумму 3,41 млн. рублей закуплена и поставлена</w:t>
      </w:r>
      <w:r w:rsidR="001F1010">
        <w:rPr>
          <w:lang w:val="en-US"/>
        </w:rPr>
        <w:t> </w:t>
      </w:r>
      <w:r w:rsidR="001F1010" w:rsidRPr="00EC3C1B">
        <w:t xml:space="preserve"> трубная продукция для ремонта тепловой сети в селе Орехово.</w:t>
      </w:r>
      <w:r>
        <w:t xml:space="preserve"> </w:t>
      </w:r>
      <w:r w:rsidR="001F1010" w:rsidRPr="00EC3C1B">
        <w:t xml:space="preserve">В 2025 году выполнены объемы по капитальному ремонту оставшихся ветхих тепловых сетей </w:t>
      </w:r>
      <w:proofErr w:type="gramStart"/>
      <w:r w:rsidR="001F1010" w:rsidRPr="00EC3C1B">
        <w:t>в</w:t>
      </w:r>
      <w:proofErr w:type="gramEnd"/>
      <w:r w:rsidR="001F1010" w:rsidRPr="00EC3C1B">
        <w:t xml:space="preserve"> с. Бурла стоимостью</w:t>
      </w:r>
      <w:r w:rsidR="001F1010">
        <w:rPr>
          <w:lang w:val="en-US"/>
        </w:rPr>
        <w:t> </w:t>
      </w:r>
      <w:r w:rsidR="001F1010" w:rsidRPr="00EC3C1B">
        <w:t xml:space="preserve"> 36,8 млн. рублей и в с. Михайловка стоимостью 42,9 млн. рублей. Выполнены капитальные ремонты: 2,4 км водопроводной сети в селе </w:t>
      </w:r>
      <w:proofErr w:type="spellStart"/>
      <w:r w:rsidR="001F1010" w:rsidRPr="00EC3C1B">
        <w:t>Новопесчаное</w:t>
      </w:r>
      <w:proofErr w:type="spellEnd"/>
      <w:r w:rsidR="001F1010" w:rsidRPr="00EC3C1B">
        <w:t>, на сумму</w:t>
      </w:r>
      <w:r w:rsidR="001F1010">
        <w:rPr>
          <w:lang w:val="en-US"/>
        </w:rPr>
        <w:t> </w:t>
      </w:r>
      <w:r w:rsidR="001F1010" w:rsidRPr="00EC3C1B">
        <w:t xml:space="preserve"> 18,9 млн. рублей, водозаборного сооружения с бурением</w:t>
      </w:r>
      <w:r w:rsidR="001F1010">
        <w:rPr>
          <w:lang w:val="en-US"/>
        </w:rPr>
        <w:t> </w:t>
      </w:r>
      <w:r w:rsidR="001F1010" w:rsidRPr="00EC3C1B">
        <w:t xml:space="preserve"> глубоководной скважины (685 метров) в селе </w:t>
      </w:r>
      <w:proofErr w:type="gramStart"/>
      <w:r w:rsidR="001F1010" w:rsidRPr="00EC3C1B">
        <w:t>Лесное</w:t>
      </w:r>
      <w:proofErr w:type="gramEnd"/>
      <w:r w:rsidR="001F1010" w:rsidRPr="00EC3C1B">
        <w:t>, сметной стоимостью 27,8 млн. рублей.</w:t>
      </w:r>
      <w:r>
        <w:t xml:space="preserve"> </w:t>
      </w:r>
      <w:r w:rsidR="001F1010" w:rsidRPr="00EC3C1B">
        <w:t>Администрацией района приобретено для прохождения отопительного сезона 2025-2026 гг.</w:t>
      </w:r>
      <w:r w:rsidR="001F1010">
        <w:rPr>
          <w:lang w:val="en-US"/>
        </w:rPr>
        <w:t> </w:t>
      </w:r>
      <w:r w:rsidR="001F1010" w:rsidRPr="00EC3C1B">
        <w:t xml:space="preserve"> 4128 т. угля на сумму 23 млн. 446 тыс. рублей.</w:t>
      </w:r>
      <w:r>
        <w:t xml:space="preserve"> </w:t>
      </w:r>
      <w:r w:rsidR="001F1010" w:rsidRPr="00EC3C1B">
        <w:t>Своевременная подготовка 13 ведомственных котельных, абонентов и всего теплового хозяйства района, сформированный нормативный запас угля,</w:t>
      </w:r>
      <w:r w:rsidR="001F1010">
        <w:rPr>
          <w:lang w:val="en-US"/>
        </w:rPr>
        <w:t> </w:t>
      </w:r>
      <w:r w:rsidR="001F1010" w:rsidRPr="00EC3C1B">
        <w:t xml:space="preserve"> позволили муниципалитету уже в очередной раз, устранив все требования контролирующих федеральных структур получить паспорт готовности муниципального образования к отопительному периоду 2025-2026 г.г. и уже с 18 сентября 2025 года начать новый отопительный сезон. Кроме того, в целях обеспечения надежности был создан аварийный запас оборудования и материалов, позволяющих в случае нештатной ситуации оперативно устранять возникшие сбои в системах жизнеобеспечения района.</w:t>
      </w:r>
      <w:r>
        <w:t xml:space="preserve"> </w:t>
      </w:r>
      <w:r w:rsidR="001F1010" w:rsidRPr="00EC3C1B">
        <w:t>В 2026 году предстоит выполнить объемный капитальный ремонт ветхих тепловых сетей в селе Новосельское, ориентировочной стоимостью более 29,2 млн. рублей.</w:t>
      </w:r>
      <w:r>
        <w:t xml:space="preserve"> </w:t>
      </w:r>
      <w:r w:rsidR="001F1010" w:rsidRPr="00EC3C1B">
        <w:t>Несмотря на определенную стабильность обстановки в коммунальной сфере, практически все наши муниципальные унитарные предприятия, к сожалению, являются убыточными. МУП Бурлинские тепловые сети имеет задолженность по налогам и страховым платежам более 20 млн. рублей и находится в стадии ликвидации. Администрация района активно ведет работу с краевой налоговой инспекцией по рассрочке уплаты обязательных платежей МУП Бурлинские коммунальные системы, поднакопившей долги по налогам и фондам. Это стало следствием губительной очередной реформы, как правило, убыточных муниципальных предприятий, лишившихся возможности поправлять свое финансовое положение за счет дополнительной непрофильной деятельности.</w:t>
      </w:r>
      <w:r>
        <w:t xml:space="preserve"> </w:t>
      </w:r>
      <w:proofErr w:type="gramStart"/>
      <w:r w:rsidR="001F1010" w:rsidRPr="00EC3C1B">
        <w:t xml:space="preserve">Главной проблемой потенциальной убыточности хозяйствующих субъектов в сфере жилищно-коммунального хозяйства является несовершенство действующей тарифной системы, не позволяющей гибко влиять на величину утвержденного тарифа в связи с частым и резким скачком в сторону роста составляющих его затрат: - на электроэнергию, уголь, горюче-смазочные материалы, </w:t>
      </w:r>
      <w:r w:rsidR="001F1010" w:rsidRPr="00EC3C1B">
        <w:lastRenderedPageBreak/>
        <w:t>выплату заработной платы и др.</w:t>
      </w:r>
      <w:r>
        <w:t xml:space="preserve"> </w:t>
      </w:r>
      <w:r w:rsidR="001F1010" w:rsidRPr="00EC3C1B">
        <w:t>Кроме того, действующий утвержденный тариф не предусматривает в полном объеме некоторые фактические расходы предприятия</w:t>
      </w:r>
      <w:proofErr w:type="gramEnd"/>
      <w:r w:rsidR="001F1010" w:rsidRPr="00EC3C1B">
        <w:t>.</w:t>
      </w:r>
      <w:r>
        <w:t xml:space="preserve"> </w:t>
      </w:r>
      <w:r w:rsidR="001F1010" w:rsidRPr="00EC3C1B">
        <w:t>Величина тарифа на отпуск тепловой энергии в районе, установленная краевым Управлением по регулированию тарифов, сегодня составляет 4914 руб. за 1 Гкал. Возмещение потребителям превышения нормативного уровня потребленных энергоносителей осуществляется в установленном порядке.</w:t>
      </w:r>
      <w:r>
        <w:t xml:space="preserve"> </w:t>
      </w:r>
      <w:r w:rsidR="001F1010" w:rsidRPr="00EC3C1B">
        <w:t>Благополучному прохождению отопительного сезона способствовала, и ритмичная работа по погашению объёмной кредиторской задолженности муниципальных организаций за потреблённые энергоресурсы.</w:t>
      </w:r>
      <w:r>
        <w:t xml:space="preserve"> </w:t>
      </w:r>
    </w:p>
    <w:p w:rsidR="0074511A" w:rsidRPr="00EC3C1B" w:rsidRDefault="00EC3C1B" w:rsidP="001F1010">
      <w:pPr>
        <w:spacing w:line="276" w:lineRule="auto"/>
        <w:jc w:val="both"/>
        <w:divId w:val="1904366202"/>
      </w:pPr>
      <w:r>
        <w:tab/>
      </w:r>
      <w:r w:rsidR="001F1010" w:rsidRPr="00EC3C1B">
        <w:t>В рамках исполнения полномочий по водоснабжению Администрацией района осуществляется конкретная организаторская работа в части оказания финансовой и материальной поддержки сельсоветов, техническому перевооружению и содержанию проблемного водопроводного хозяйства.</w:t>
      </w:r>
      <w:r>
        <w:t xml:space="preserve"> </w:t>
      </w:r>
      <w:r w:rsidR="001F1010" w:rsidRPr="00EC3C1B">
        <w:t>Практически все водопроводные сети и сооружения за исключением районного центра и села Партизанское находятся в критическом состоянии по причине многолетнего физического износа и требуют постоянного внимания и ремонта.</w:t>
      </w:r>
      <w:r>
        <w:t xml:space="preserve"> </w:t>
      </w:r>
      <w:r w:rsidR="001F1010" w:rsidRPr="00EC3C1B">
        <w:t>Следует отметить, что рост эффективности направляемого объема финансовой и материальной поддержки Администрации района для решения местных проблем жизнеобеспечения, во многом зависит от инициативы руководителя сельского поселения</w:t>
      </w:r>
      <w:r>
        <w:t xml:space="preserve">. </w:t>
      </w:r>
      <w:r w:rsidR="001F1010" w:rsidRPr="00EC3C1B">
        <w:t>В прошедшем году на капитальный, текущий ремонты и эксплуатацию водопроводов сельсоветам в рамках переданных полномочий направлено более 48 млн. рублей.</w:t>
      </w:r>
      <w:r>
        <w:t xml:space="preserve"> </w:t>
      </w:r>
      <w:r w:rsidR="001F1010" w:rsidRPr="00EC3C1B">
        <w:t xml:space="preserve">Наиболее интенсивно проходила эта работа на территориях Михайловского, </w:t>
      </w:r>
      <w:proofErr w:type="spellStart"/>
      <w:r w:rsidR="001F1010" w:rsidRPr="00EC3C1B">
        <w:t>Новопесчанского</w:t>
      </w:r>
      <w:proofErr w:type="spellEnd"/>
      <w:r w:rsidR="001F1010" w:rsidRPr="00EC3C1B">
        <w:t>, и Новосельского сельсоветов. Идет плановый процесс оформления правоустанавливающих документов на водопроводное хозяйство и возвращение полномочий в этой сфере в районное ведомство. Так на уровень района возвращены полномочия всеми сельсоветами, за исключением Михайловского и Бурлинского. Эта работа непростая, требующая документального сопровождения, создания базовой эксплуатирующей организации, прохождения лицензирования, установления обоснованных тарифов и соответствующего финансового обеспечения. Главное здесь не нанести ущерба потребителям и формирование системы круглогодичной эксплуатации объектов водоснабжения.</w:t>
      </w:r>
      <w:r>
        <w:t xml:space="preserve"> </w:t>
      </w:r>
      <w:r w:rsidR="001F1010" w:rsidRPr="00EC3C1B">
        <w:t>Надо понимать, что достичь положительного результата по упорядочению организации устойчивой деятельности потенциально убыточной отрасли водоснабжения в сёлах района, за исключением райцентра, возможно только при совместном, заинтересованном сотрудничестве муниципальных образований района и сельсоветов, ответственного отношения сельской власти к решению важнейших для людей проблем, независимо от ведомственной принадлежности.</w:t>
      </w:r>
      <w:r>
        <w:t xml:space="preserve"> </w:t>
      </w:r>
      <w:proofErr w:type="gramStart"/>
      <w:r w:rsidR="001F1010" w:rsidRPr="00EC3C1B">
        <w:t>Администрация района считает одной из главных задач очередного этапа в развитии и совершенствовании жилищно-коммунального хозяйства района организацию полнокровной специализированной, многоотраслевой, сервисной</w:t>
      </w:r>
      <w:r w:rsidR="001F1010">
        <w:rPr>
          <w:lang w:val="en-US"/>
        </w:rPr>
        <w:t> </w:t>
      </w:r>
      <w:r w:rsidR="001F1010" w:rsidRPr="00EC3C1B">
        <w:t xml:space="preserve"> службы, способной в постоянном режиме осуществлять эксплуатацию систем тепло- и водоснабжения потребителей, муниципального дорожного хозяйства, оказывать услуги в проведении монтажно-ремонтных работ в различных сферах, благоустройстве, ритуальных делах, муниципальных пассажирских перевозках и пр.</w:t>
      </w:r>
      <w:proofErr w:type="gramEnd"/>
      <w:r w:rsidR="001F1010">
        <w:rPr>
          <w:lang w:val="en-US"/>
        </w:rPr>
        <w:t> </w:t>
      </w:r>
      <w:r w:rsidR="001F1010" w:rsidRPr="00EC3C1B">
        <w:t>Проблем здесь очень много, но пути решения намечены и будут поэтапно реализовываться. Тем более</w:t>
      </w:r>
      <w:proofErr w:type="gramStart"/>
      <w:r w:rsidR="001F1010" w:rsidRPr="00EC3C1B">
        <w:t>,</w:t>
      </w:r>
      <w:proofErr w:type="gramEnd"/>
      <w:r w:rsidR="001F1010" w:rsidRPr="00EC3C1B">
        <w:t xml:space="preserve"> что район находится только в начале реализации, так называемой, «мусорной реформы», требующей кардинального наведения порядка с мусором в населенных пунктах и традиционных местах его </w:t>
      </w:r>
      <w:r w:rsidR="001F1010" w:rsidRPr="00EC3C1B">
        <w:lastRenderedPageBreak/>
        <w:t>скопления – свалках.</w:t>
      </w:r>
      <w:r>
        <w:t xml:space="preserve"> </w:t>
      </w:r>
      <w:r w:rsidR="001F1010" w:rsidRPr="00EC3C1B">
        <w:t xml:space="preserve">Начало уже положено, понимание необходимости решения этих вопросов имеется и у краевых органов власти. </w:t>
      </w:r>
      <w:proofErr w:type="gramStart"/>
      <w:r w:rsidR="001F1010" w:rsidRPr="00EC3C1B">
        <w:t>В 2025 году Администрацией района за счет выделенных краевых средств обустроены 4 контейнерных площадки на сумму 488,6 тыс. рублей, приобретены 47 контейнеров для мусора на сумму 511,4 тыс. рублей.</w:t>
      </w:r>
      <w:proofErr w:type="gramEnd"/>
      <w:r w:rsidR="001F1010">
        <w:rPr>
          <w:lang w:val="en-US"/>
        </w:rPr>
        <w:t>  </w:t>
      </w:r>
      <w:r w:rsidR="001F1010" w:rsidRPr="00EC3C1B">
        <w:t xml:space="preserve"> Принятый</w:t>
      </w:r>
      <w:r w:rsidR="001F1010">
        <w:rPr>
          <w:lang w:val="en-US"/>
        </w:rPr>
        <w:t> </w:t>
      </w:r>
      <w:r w:rsidR="001F1010" w:rsidRPr="00EC3C1B">
        <w:t xml:space="preserve"> с учетом мнения населения в районе бестарный сбор мусора осуществляется специализированной организацией – </w:t>
      </w:r>
      <w:proofErr w:type="spellStart"/>
      <w:r w:rsidR="001F1010" w:rsidRPr="00EC3C1B">
        <w:t>регоператором</w:t>
      </w:r>
      <w:proofErr w:type="spellEnd"/>
      <w:r w:rsidR="001F1010" w:rsidRPr="00EC3C1B">
        <w:t xml:space="preserve"> </w:t>
      </w:r>
      <w:proofErr w:type="spellStart"/>
      <w:r w:rsidR="001F1010" w:rsidRPr="00EC3C1B">
        <w:t>Славгородской</w:t>
      </w:r>
      <w:proofErr w:type="spellEnd"/>
      <w:r w:rsidR="001F1010" w:rsidRPr="00EC3C1B">
        <w:t xml:space="preserve"> зон</w:t>
      </w:r>
      <w:proofErr w:type="gramStart"/>
      <w:r w:rsidR="001F1010" w:rsidRPr="00EC3C1B">
        <w:t>ы ООО</w:t>
      </w:r>
      <w:proofErr w:type="gramEnd"/>
      <w:r w:rsidR="001F1010" w:rsidRPr="00EC3C1B">
        <w:t xml:space="preserve"> </w:t>
      </w:r>
      <w:proofErr w:type="spellStart"/>
      <w:r w:rsidR="001F1010" w:rsidRPr="00EC3C1B">
        <w:t>Экостар</w:t>
      </w:r>
      <w:proofErr w:type="spellEnd"/>
      <w:r w:rsidR="001F1010" w:rsidRPr="00EC3C1B">
        <w:t>. Количество ее абонентов постепенно растет.</w:t>
      </w:r>
    </w:p>
    <w:p w:rsidR="0074511A" w:rsidRDefault="0074511A" w:rsidP="008E0719">
      <w:pPr>
        <w:spacing w:before="240" w:after="240" w:line="276" w:lineRule="auto"/>
        <w:jc w:val="center"/>
        <w:divId w:val="1972859180"/>
      </w:pPr>
      <w:r>
        <w:rPr>
          <w:rStyle w:val="a3"/>
          <w:sz w:val="28"/>
          <w:szCs w:val="28"/>
        </w:rPr>
        <w:t xml:space="preserve">Социальная сфера </w:t>
      </w:r>
    </w:p>
    <w:p w:rsidR="00EC3C1B" w:rsidRDefault="00EC3C1B" w:rsidP="001F1010">
      <w:pPr>
        <w:spacing w:line="276" w:lineRule="auto"/>
        <w:jc w:val="both"/>
        <w:divId w:val="1972859180"/>
      </w:pPr>
      <w:r>
        <w:tab/>
      </w:r>
      <w:r w:rsidR="001F1010" w:rsidRPr="00EC3C1B">
        <w:t>Образование.</w:t>
      </w:r>
      <w:r>
        <w:t xml:space="preserve"> </w:t>
      </w:r>
      <w:r w:rsidR="001F1010" w:rsidRPr="00EC3C1B">
        <w:t>За отчетный период образовательная система района не претерпела изменений и состоит из 4 общеобразовательных организаций, включающих 5 филиалов, 7 структурных подразделений (детские сады), 1 дошкольное образовательное учреждение (ДОУ), 1 учреждение дополнительного образования (УДО)</w:t>
      </w:r>
      <w:proofErr w:type="gramStart"/>
      <w:r w:rsidR="001F1010" w:rsidRPr="00EC3C1B">
        <w:t>.В</w:t>
      </w:r>
      <w:proofErr w:type="gramEnd"/>
      <w:r w:rsidR="001F1010" w:rsidRPr="00EC3C1B">
        <w:t xml:space="preserve"> них работает 148 педагогических и руководящих работников, из них с высшим профессиональным образованием 96 чел., со средним профессиональным 43 чел. Квалификационный уровень (первая и высшая квалификационная категория) педагогических работников составляет 78,3%: 55 человек имеет высшую квалификационную категорию (38,8%), первую – 56 (39,5%).</w:t>
      </w:r>
      <w:r w:rsidR="001F1010">
        <w:rPr>
          <w:lang w:val="en-US"/>
        </w:rPr>
        <w:t> </w:t>
      </w:r>
      <w:r w:rsidR="001F1010" w:rsidRPr="00EC3C1B">
        <w:t xml:space="preserve"> Педагоги постоянно совершенствуют свои знания, участвуют в различных мероприятиях.</w:t>
      </w:r>
      <w:r>
        <w:t xml:space="preserve"> </w:t>
      </w:r>
      <w:r w:rsidR="001F1010" w:rsidRPr="00EC3C1B">
        <w:t>Количество детей по состоянию на 31.12.2025г в общеобразовательных организациях - 887, детских садах - 211, Центре дополнительного образования – 395. В последние годы намечается стабильная тенденция на уменьшение количества детей. Для сравнения: на 31.12. 2023г. в школах – 1008, детсадах – 245, на 31.12.2024г 958 в школах, детских садах - 226Охват дошкольным образованием составил 70 % от общей численности детей в возрасте от 1 до 7 лет. Очередей в детсады нет. Все дошкольные образовательные организации укомплектованы педагогическими кадрами.</w:t>
      </w:r>
      <w:r>
        <w:t xml:space="preserve"> </w:t>
      </w:r>
      <w:r w:rsidR="001F1010" w:rsidRPr="00EC3C1B">
        <w:t>Сфера образования является самым крупным получателем бюджетных сре</w:t>
      </w:r>
      <w:proofErr w:type="gramStart"/>
      <w:r w:rsidR="001F1010" w:rsidRPr="00EC3C1B">
        <w:t>дств в р</w:t>
      </w:r>
      <w:proofErr w:type="gramEnd"/>
      <w:r w:rsidR="001F1010" w:rsidRPr="00EC3C1B">
        <w:t>айоне. На её долю приходится более 60% консолидированного бюджета муниципального образования, или 284 млн. рублей. Кроме того, учреждения образования района безвозмездно получили оборудования на сумму 4,8 млн. рублей.</w:t>
      </w:r>
      <w:r>
        <w:t xml:space="preserve"> </w:t>
      </w:r>
    </w:p>
    <w:p w:rsidR="00EC3C1B" w:rsidRDefault="00EC3C1B" w:rsidP="001F1010">
      <w:pPr>
        <w:spacing w:line="276" w:lineRule="auto"/>
        <w:jc w:val="both"/>
        <w:divId w:val="1972859180"/>
      </w:pPr>
      <w:r>
        <w:tab/>
      </w:r>
      <w:r w:rsidR="001F1010" w:rsidRPr="00EC3C1B">
        <w:t>За последние три года в школах района открылись 4 центра «Точка роста», создана цифровая образовательная среда, функционирует парк школьных автобусов, поставляется новое современное оборудование в классы и пищеблоки. Все школы подключены к высокоскоростному интернету.</w:t>
      </w:r>
      <w:r>
        <w:t xml:space="preserve"> </w:t>
      </w:r>
      <w:r w:rsidR="001F1010" w:rsidRPr="00EC3C1B">
        <w:t xml:space="preserve">В рамках реализации проекта «Школа </w:t>
      </w:r>
      <w:proofErr w:type="spellStart"/>
      <w:r w:rsidR="001F1010" w:rsidRPr="00EC3C1B">
        <w:t>Минпросвещения</w:t>
      </w:r>
      <w:proofErr w:type="spellEnd"/>
      <w:r w:rsidR="001F1010" w:rsidRPr="00EC3C1B">
        <w:t xml:space="preserve"> России» общеобразовательные организации прошли федеральную самодиагностику. По результатам самодиагностики все школы имеют средний уровень.</w:t>
      </w:r>
      <w:r>
        <w:t xml:space="preserve"> </w:t>
      </w:r>
      <w:r w:rsidR="001F1010" w:rsidRPr="00EC3C1B">
        <w:t>МБОУ «</w:t>
      </w:r>
      <w:proofErr w:type="spellStart"/>
      <w:r w:rsidR="001F1010" w:rsidRPr="00EC3C1B">
        <w:t>Устьянская</w:t>
      </w:r>
      <w:proofErr w:type="spellEnd"/>
      <w:r w:rsidR="001F1010" w:rsidRPr="00EC3C1B">
        <w:t xml:space="preserve"> СОШ» и МБОУ «</w:t>
      </w:r>
      <w:proofErr w:type="spellStart"/>
      <w:r w:rsidR="001F1010" w:rsidRPr="00EC3C1B">
        <w:t>Новопесчанская</w:t>
      </w:r>
      <w:proofErr w:type="spellEnd"/>
      <w:r w:rsidR="001F1010" w:rsidRPr="00EC3C1B">
        <w:t xml:space="preserve"> СОШ» стали победителями Алтайского краевого конкурса школьных инициатив, получив </w:t>
      </w:r>
      <w:proofErr w:type="spellStart"/>
      <w:r w:rsidR="001F1010" w:rsidRPr="00EC3C1B">
        <w:t>грантовую</w:t>
      </w:r>
      <w:proofErr w:type="spellEnd"/>
      <w:r w:rsidR="001F1010" w:rsidRPr="00EC3C1B">
        <w:t xml:space="preserve"> поддержку по </w:t>
      </w:r>
      <w:r w:rsidR="001F1010">
        <w:rPr>
          <w:lang w:val="en-US"/>
        </w:rPr>
        <w:t> </w:t>
      </w:r>
      <w:r w:rsidR="001F1010" w:rsidRPr="00EC3C1B">
        <w:t>500 тыс. рублей.</w:t>
      </w:r>
      <w:r>
        <w:t xml:space="preserve"> </w:t>
      </w:r>
      <w:proofErr w:type="gramStart"/>
      <w:r w:rsidR="001F1010" w:rsidRPr="00EC3C1B">
        <w:t>В 2024-2025 учебном году к ГИА- 9 допущены 99 выпускников (98,02%), аттестат получили 98 выпускников, что составило 98,98 % от числа допущенных к ГИА-9.</w:t>
      </w:r>
      <w:proofErr w:type="gramEnd"/>
      <w:r w:rsidR="001F1010" w:rsidRPr="00EC3C1B">
        <w:t xml:space="preserve"> Шесть выпускников 9-х классов получили аттестат с отличием. (2-МБОУ "Бурлинская СОШ", 2- МБОУ "</w:t>
      </w:r>
      <w:proofErr w:type="spellStart"/>
      <w:r w:rsidR="001F1010" w:rsidRPr="00EC3C1B">
        <w:t>Новопесчанская</w:t>
      </w:r>
      <w:proofErr w:type="spellEnd"/>
      <w:r w:rsidR="001F1010" w:rsidRPr="00EC3C1B">
        <w:t xml:space="preserve"> СОШ", 2 - МБОУ "</w:t>
      </w:r>
      <w:proofErr w:type="spellStart"/>
      <w:r w:rsidR="001F1010" w:rsidRPr="00EC3C1B">
        <w:t>Устьянская</w:t>
      </w:r>
      <w:proofErr w:type="spellEnd"/>
      <w:r w:rsidR="001F1010" w:rsidRPr="00EC3C1B">
        <w:t xml:space="preserve"> СОШ")</w:t>
      </w:r>
      <w:r>
        <w:t xml:space="preserve">. </w:t>
      </w:r>
      <w:r w:rsidR="001F1010" w:rsidRPr="00EC3C1B">
        <w:t>В сдаче ЕГЭ приняли участие 42 человека - все выпускники текущего года (100%).</w:t>
      </w:r>
      <w:r w:rsidR="001F1010">
        <w:rPr>
          <w:lang w:val="en-US"/>
        </w:rPr>
        <w:t>  </w:t>
      </w:r>
      <w:r w:rsidR="001F1010" w:rsidRPr="00EC3C1B">
        <w:t xml:space="preserve"> 41 выпускник успешно прошел государственную итоговую аттестацию. Аттестат о среднем общем образовании с отличием и медаль «За особые </w:t>
      </w:r>
      <w:r w:rsidR="001F1010" w:rsidRPr="00EC3C1B">
        <w:lastRenderedPageBreak/>
        <w:t>успехи в учении» получили пять выпускников. В том числе, 3 –</w:t>
      </w:r>
      <w:r w:rsidR="001F1010">
        <w:rPr>
          <w:lang w:val="en-US"/>
        </w:rPr>
        <w:t>I</w:t>
      </w:r>
      <w:r w:rsidR="001F1010" w:rsidRPr="00EC3C1B">
        <w:t xml:space="preserve"> степени, 2 –</w:t>
      </w:r>
      <w:r w:rsidR="001F1010">
        <w:rPr>
          <w:lang w:val="en-US"/>
        </w:rPr>
        <w:t>II</w:t>
      </w:r>
      <w:r w:rsidR="001F1010" w:rsidRPr="00EC3C1B">
        <w:t xml:space="preserve"> степени</w:t>
      </w:r>
      <w:proofErr w:type="gramStart"/>
      <w:r w:rsidR="001F1010" w:rsidRPr="00EC3C1B">
        <w:t>.(</w:t>
      </w:r>
      <w:proofErr w:type="gramEnd"/>
      <w:r w:rsidR="001F1010" w:rsidRPr="00EC3C1B">
        <w:t xml:space="preserve"> МБОУ «Бурлинская СОШ»-2, МБОУ «Михайловская СОШ»- 1, МБОУ «</w:t>
      </w:r>
      <w:proofErr w:type="spellStart"/>
      <w:r w:rsidR="001F1010" w:rsidRPr="00EC3C1B">
        <w:t>Новопесчанская</w:t>
      </w:r>
      <w:proofErr w:type="spellEnd"/>
      <w:r w:rsidR="001F1010" w:rsidRPr="00EC3C1B">
        <w:t xml:space="preserve"> СОШ» - 2)Учащиеся основного и старшего уровня образования активно вовлекаются в научно-исследовательскую, проектную и поисковую деятельность.</w:t>
      </w:r>
      <w:r>
        <w:t xml:space="preserve"> </w:t>
      </w:r>
      <w:r w:rsidR="001F1010" w:rsidRPr="00EC3C1B">
        <w:t xml:space="preserve">Более 300 </w:t>
      </w:r>
      <w:proofErr w:type="gramStart"/>
      <w:r w:rsidR="001F1010" w:rsidRPr="00EC3C1B">
        <w:t>обучающихся</w:t>
      </w:r>
      <w:proofErr w:type="gramEnd"/>
      <w:r w:rsidR="001F1010" w:rsidRPr="00EC3C1B">
        <w:t xml:space="preserve"> </w:t>
      </w:r>
      <w:r w:rsidR="001F1010">
        <w:rPr>
          <w:lang w:val="en-US"/>
        </w:rPr>
        <w:t> </w:t>
      </w:r>
      <w:r w:rsidR="001F1010" w:rsidRPr="00EC3C1B">
        <w:t>начальной школы участвуют в программе «Орлята России». В проекте принимают участие 29 классов.</w:t>
      </w:r>
      <w:r>
        <w:t xml:space="preserve"> </w:t>
      </w:r>
    </w:p>
    <w:p w:rsidR="00EC3C1B" w:rsidRDefault="00EC3C1B" w:rsidP="001F1010">
      <w:pPr>
        <w:spacing w:line="276" w:lineRule="auto"/>
        <w:jc w:val="both"/>
        <w:divId w:val="1972859180"/>
      </w:pPr>
      <w:r>
        <w:tab/>
      </w:r>
      <w:r w:rsidR="001F1010" w:rsidRPr="00EC3C1B">
        <w:t>В образовательных организациях района функционируют современные оборудованные столовые, а на основе заключенных договоров с КГБУЗ «Бурлинская ЦРБ» проводится медицинское обслуживание обучающихся. Всего школьным питанием охвачено: начальная школа – 100%, среднее и старшее звено - 96% учащихся.</w:t>
      </w:r>
      <w:r>
        <w:t xml:space="preserve"> </w:t>
      </w:r>
      <w:r w:rsidR="001F1010" w:rsidRPr="00EC3C1B">
        <w:t xml:space="preserve">Основной формой летнего оздоровления стали лагеря с дневным пребыванием детей на базе школ в селах Бурла, Михайловка, </w:t>
      </w:r>
      <w:proofErr w:type="spellStart"/>
      <w:r w:rsidR="001F1010" w:rsidRPr="00EC3C1B">
        <w:t>Новопесчаное</w:t>
      </w:r>
      <w:proofErr w:type="spellEnd"/>
      <w:r w:rsidR="001F1010" w:rsidRPr="00EC3C1B">
        <w:t xml:space="preserve">, </w:t>
      </w:r>
      <w:proofErr w:type="spellStart"/>
      <w:r w:rsidR="001F1010" w:rsidRPr="00EC3C1B">
        <w:t>Устьянка</w:t>
      </w:r>
      <w:proofErr w:type="spellEnd"/>
      <w:r w:rsidR="001F1010" w:rsidRPr="00EC3C1B">
        <w:t>, Новосельское и Лесное, в которых оздоровлено 132 человек. Из муниципального бюджета на проведение летней оздоровительной кампании направлено 250,0 тыс. рублей.</w:t>
      </w:r>
      <w:r>
        <w:t xml:space="preserve"> </w:t>
      </w:r>
      <w:r w:rsidR="001F1010" w:rsidRPr="00EC3C1B">
        <w:t>В 2025 году 310 учащихся 1-4 классов получили Губернаторские подарки. По ходатайству Администрации Бурлинского района учащиеся 5-6 классов, дети из опекунских семей, дети инвалиды, дети из семей военнослужащих, находящихся в зоне СВО, получили новогодние подарки за счёт средств Алтайского регионального отделения всероссийской политической партии «Единая Россия». Дети из школ района посетили новогоднее представление в МФКЦ Бурлинского района.</w:t>
      </w:r>
      <w:r>
        <w:t xml:space="preserve"> </w:t>
      </w:r>
    </w:p>
    <w:p w:rsidR="00EC3C1B" w:rsidRDefault="00EC3C1B" w:rsidP="001F1010">
      <w:pPr>
        <w:spacing w:line="276" w:lineRule="auto"/>
        <w:jc w:val="both"/>
        <w:divId w:val="1972859180"/>
      </w:pPr>
      <w:r>
        <w:tab/>
      </w:r>
      <w:r w:rsidR="001F1010" w:rsidRPr="00EC3C1B">
        <w:t>На учете в органе по опеке и попечительству в 2025 на начало года состояло 39 детей-сирот и детей, оставшихся без попечения родителей, к концу 2025 года - 34 несовершеннолетних.</w:t>
      </w:r>
      <w:r>
        <w:t xml:space="preserve"> </w:t>
      </w:r>
    </w:p>
    <w:p w:rsidR="001B18FE" w:rsidRDefault="00EC3C1B" w:rsidP="001F1010">
      <w:pPr>
        <w:spacing w:line="276" w:lineRule="auto"/>
        <w:jc w:val="both"/>
        <w:divId w:val="1972859180"/>
      </w:pPr>
      <w:r>
        <w:tab/>
      </w:r>
      <w:r w:rsidR="001F1010" w:rsidRPr="00EC3C1B">
        <w:t xml:space="preserve">Администрация района продолжает целенаправленную работу по укреплению материально-технической базы образовательных учреждений. Все здания базовых школ района, за исключением </w:t>
      </w:r>
      <w:proofErr w:type="spellStart"/>
      <w:r w:rsidR="001F1010" w:rsidRPr="00EC3C1B">
        <w:t>Бурлинской</w:t>
      </w:r>
      <w:proofErr w:type="spellEnd"/>
      <w:r w:rsidR="001F1010" w:rsidRPr="00EC3C1B">
        <w:t xml:space="preserve"> средней школы капитально отремонтированы в рамках краевых и федеральных программ. На данный момент в здании </w:t>
      </w:r>
      <w:proofErr w:type="spellStart"/>
      <w:r w:rsidR="001F1010" w:rsidRPr="00EC3C1B">
        <w:t>Бурлинской</w:t>
      </w:r>
      <w:proofErr w:type="spellEnd"/>
      <w:r w:rsidR="001F1010" w:rsidRPr="00EC3C1B">
        <w:t xml:space="preserve"> средней школы ведется капитальный ремонт.</w:t>
      </w:r>
      <w:r w:rsidR="001F1010">
        <w:rPr>
          <w:lang w:val="en-US"/>
        </w:rPr>
        <w:t> </w:t>
      </w:r>
    </w:p>
    <w:p w:rsidR="00EC3C1B" w:rsidRDefault="001B18FE" w:rsidP="001F1010">
      <w:pPr>
        <w:spacing w:line="276" w:lineRule="auto"/>
        <w:jc w:val="both"/>
        <w:divId w:val="1972859180"/>
      </w:pPr>
      <w:r>
        <w:tab/>
      </w:r>
      <w:r w:rsidR="001F1010" w:rsidRPr="00EC3C1B">
        <w:t>Культура.</w:t>
      </w:r>
      <w:r w:rsidR="00EC3C1B">
        <w:t xml:space="preserve"> </w:t>
      </w:r>
      <w:r w:rsidR="001F1010" w:rsidRPr="00EC3C1B">
        <w:t>Уникальная многонациональная культура нашей степной, сельской глубинки является одним из важных сегментов социально-культурной сферы района, обеспечивающих полнокровное его развитие.</w:t>
      </w:r>
      <w:r w:rsidR="00EC3C1B">
        <w:t xml:space="preserve"> </w:t>
      </w:r>
      <w:r w:rsidR="001F1010" w:rsidRPr="00EC3C1B">
        <w:t>Структура сферы культуры в районе никаких изменений не претерпела.</w:t>
      </w:r>
    </w:p>
    <w:p w:rsidR="00EC3C1B" w:rsidRDefault="00EC3C1B" w:rsidP="001F1010">
      <w:pPr>
        <w:spacing w:line="276" w:lineRule="auto"/>
        <w:jc w:val="both"/>
        <w:divId w:val="1972859180"/>
      </w:pPr>
      <w:r>
        <w:tab/>
      </w:r>
      <w:r w:rsidR="001F1010" w:rsidRPr="00EC3C1B">
        <w:t xml:space="preserve">По состоянию на 01.01.2026 года в районе работали МБУК «Многофункциональный культурный центр» Бурлинского района Алтайского края, в составе отделов: Бурлинский районный Дом культуры, Бурлинский районный краеведческий музей, </w:t>
      </w:r>
      <w:proofErr w:type="spellStart"/>
      <w:r w:rsidR="001F1010" w:rsidRPr="00EC3C1B">
        <w:t>Бурлинскаямежпоселенческая</w:t>
      </w:r>
      <w:proofErr w:type="spellEnd"/>
      <w:r w:rsidR="001F1010" w:rsidRPr="00EC3C1B">
        <w:t xml:space="preserve"> модельная библиотека, методический отдел, 11 филиалов КДУ и 11 филиалов библиотек, расположенных в поселениях, а также МБУДО «Бурлинская детская школа искусств».</w:t>
      </w:r>
      <w:r>
        <w:t xml:space="preserve"> </w:t>
      </w:r>
      <w:r w:rsidR="001F1010" w:rsidRPr="00EC3C1B">
        <w:t>Осуществляли свою творческую деятельность два коллектива при РДК, носящих звание «Народный»: хор русской песни им. В. Филатова и театральный коллектив, два самодеятельных центра немецкой и казахской культуры.</w:t>
      </w:r>
      <w:r>
        <w:t xml:space="preserve"> </w:t>
      </w:r>
      <w:r w:rsidR="001F1010" w:rsidRPr="00EC3C1B">
        <w:t xml:space="preserve">В отчетном году учреждениями культуры района проведено 1595 культурно – массовых мероприятий (2024- 1661). Из них: 1168 – </w:t>
      </w:r>
      <w:proofErr w:type="spellStart"/>
      <w:r w:rsidR="001F1010" w:rsidRPr="00EC3C1B">
        <w:t>культурно-досуговых</w:t>
      </w:r>
      <w:proofErr w:type="spellEnd"/>
      <w:r w:rsidR="001F1010" w:rsidRPr="00EC3C1B">
        <w:t xml:space="preserve"> мероприятий (2024-1318) и 427 – информационно-просветительских(2024-343).В рамках федерального бюджета учреждения культуры получили книг и периодических изданий 62 экземпляра на сумму 44,6 тыс. руб., из краевого бюджета 450 экземпляров на сумму 176,8 тыс. </w:t>
      </w:r>
      <w:proofErr w:type="spellStart"/>
      <w:r w:rsidR="001F1010" w:rsidRPr="00EC3C1B">
        <w:t>руб</w:t>
      </w:r>
      <w:proofErr w:type="spellEnd"/>
      <w:r w:rsidR="001F1010" w:rsidRPr="00EC3C1B">
        <w:t xml:space="preserve">, из муниципального </w:t>
      </w:r>
      <w:r w:rsidR="001F1010" w:rsidRPr="00EC3C1B">
        <w:lastRenderedPageBreak/>
        <w:t>бюджета 69 экземпляров на сумму 40 тыс. руб</w:t>
      </w:r>
      <w:proofErr w:type="gramStart"/>
      <w:r w:rsidR="001F1010" w:rsidRPr="00EC3C1B">
        <w:t>.В</w:t>
      </w:r>
      <w:proofErr w:type="gramEnd"/>
      <w:r w:rsidR="001F1010" w:rsidRPr="00EC3C1B">
        <w:t xml:space="preserve"> 2025 году доходы от платных услуг населению учреждениями культуры района составил 510 тыс. рублей (2024 – 450 тыс.</w:t>
      </w:r>
      <w:r w:rsidR="001F1010">
        <w:rPr>
          <w:lang w:val="en-US"/>
        </w:rPr>
        <w:t> </w:t>
      </w:r>
      <w:r w:rsidR="001F1010" w:rsidRPr="00EC3C1B">
        <w:t xml:space="preserve"> рублей), спонсорская помощь составила 153 </w:t>
      </w:r>
      <w:proofErr w:type="spellStart"/>
      <w:r w:rsidR="001F1010" w:rsidRPr="00EC3C1B">
        <w:t>тыс</w:t>
      </w:r>
      <w:proofErr w:type="gramStart"/>
      <w:r w:rsidR="001F1010" w:rsidRPr="00EC3C1B">
        <w:t>.р</w:t>
      </w:r>
      <w:proofErr w:type="gramEnd"/>
      <w:r w:rsidR="001F1010" w:rsidRPr="00EC3C1B">
        <w:t>уб</w:t>
      </w:r>
      <w:proofErr w:type="spellEnd"/>
      <w:r w:rsidR="001F1010" w:rsidRPr="00EC3C1B">
        <w:t>, (2024 – 552 тыс.</w:t>
      </w:r>
      <w:r w:rsidR="001F1010">
        <w:rPr>
          <w:lang w:val="en-US"/>
        </w:rPr>
        <w:t> </w:t>
      </w:r>
      <w:r w:rsidR="001F1010" w:rsidRPr="00EC3C1B">
        <w:t xml:space="preserve"> рублей.)В 2025 году 3 специалиста учреждений культуры прошли курсы повышения квалификации в рамках федерального проекта «Творческие люди» национального проекта «Культура» ( в 2023-4 специалиста).Учреждения культуры и их работники постоянно принимают самое активное участие в краевых конкурсных мероприятиях, добиваясь хороших результатов.</w:t>
      </w:r>
      <w:r>
        <w:t xml:space="preserve"> </w:t>
      </w:r>
      <w:r w:rsidR="001F1010" w:rsidRPr="00EC3C1B">
        <w:t>С учетом назревшей необходимости был определен и реализован ряд мер по существенному укреплению материально-технической базы отрасли культуры.</w:t>
      </w:r>
      <w:r>
        <w:t xml:space="preserve"> </w:t>
      </w:r>
      <w:r w:rsidR="001F1010" w:rsidRPr="00EC3C1B">
        <w:t>Администрацией Бурлинского района было выделено на муниципальную</w:t>
      </w:r>
      <w:r w:rsidR="001F1010">
        <w:rPr>
          <w:lang w:val="en-US"/>
        </w:rPr>
        <w:t> </w:t>
      </w:r>
      <w:r w:rsidR="001F1010" w:rsidRPr="00EC3C1B">
        <w:t xml:space="preserve"> программу «Развитие культуры</w:t>
      </w:r>
      <w:r w:rsidR="001F1010">
        <w:rPr>
          <w:lang w:val="en-US"/>
        </w:rPr>
        <w:t> </w:t>
      </w:r>
      <w:r w:rsidR="001F1010" w:rsidRPr="00EC3C1B">
        <w:t xml:space="preserve"> Бурлинского района Алтайского края на 2021-2025 годы» 144 тыс</w:t>
      </w:r>
      <w:proofErr w:type="gramStart"/>
      <w:r w:rsidR="001F1010" w:rsidRPr="00EC3C1B">
        <w:t>.р</w:t>
      </w:r>
      <w:proofErr w:type="gramEnd"/>
      <w:r w:rsidR="001F1010" w:rsidRPr="00EC3C1B">
        <w:t>уб.</w:t>
      </w:r>
      <w:r>
        <w:t xml:space="preserve"> </w:t>
      </w:r>
      <w:r w:rsidR="001F1010" w:rsidRPr="00EC3C1B">
        <w:t>Администрация Бурлинского района выделила МБУДО «Бурлинская ДШИ» 45 тыс. рублей для замены входной двери, отделу Бурлинский районный Дом культуры 64 тыс. рублей для замены входной двери и филиалу Детская библиотека 70</w:t>
      </w:r>
      <w:r w:rsidR="001F1010">
        <w:rPr>
          <w:lang w:val="en-US"/>
        </w:rPr>
        <w:t> </w:t>
      </w:r>
      <w:r w:rsidR="001F1010" w:rsidRPr="00EC3C1B">
        <w:t>тыс. рублей для замены светильников.</w:t>
      </w:r>
      <w:r w:rsidR="001F1010">
        <w:rPr>
          <w:lang w:val="en-US"/>
        </w:rPr>
        <w:t> </w:t>
      </w:r>
    </w:p>
    <w:p w:rsidR="001B18FE" w:rsidRDefault="00EC3C1B" w:rsidP="001F1010">
      <w:pPr>
        <w:spacing w:line="276" w:lineRule="auto"/>
        <w:jc w:val="both"/>
        <w:divId w:val="1972859180"/>
      </w:pPr>
      <w:r>
        <w:tab/>
      </w:r>
      <w:r w:rsidR="001F1010" w:rsidRPr="00EC3C1B">
        <w:t>Здравоохранение.</w:t>
      </w:r>
      <w:r>
        <w:t xml:space="preserve"> </w:t>
      </w:r>
      <w:r w:rsidR="001F1010" w:rsidRPr="00EC3C1B">
        <w:t xml:space="preserve">Учреждением, осуществляющим лечебно - профилактическую деятельность, является КГБУЗ «Бурлинская центральная районная больница». Она включает в себя: 2 стационарных отделения на 24 коечных места круглосуточного стационара и 12 коек дневного стационара, взрослую поликлинику на 247 посещений в смену, детскую поликлинику на 52 посещения в смену, 1 врачебную амбулаторию, 9 </w:t>
      </w:r>
      <w:proofErr w:type="spellStart"/>
      <w:r w:rsidR="001F1010" w:rsidRPr="00EC3C1B">
        <w:t>ФАПов</w:t>
      </w:r>
      <w:proofErr w:type="spellEnd"/>
      <w:r w:rsidR="001F1010" w:rsidRPr="00EC3C1B">
        <w:t>; Отделение Скорой медицинской помощи.</w:t>
      </w:r>
      <w:r w:rsidR="001B18FE">
        <w:t xml:space="preserve"> </w:t>
      </w:r>
      <w:r w:rsidR="001F1010" w:rsidRPr="00EC3C1B">
        <w:t>В медицинской организации организованы 6 участков: 4 терапевтических - 1700 человек взрослого населения в возрасте 18 лет и старше на каждом участке и 2 педиатрических – 800 человек детского населения 0-17 лет на каждом участке.</w:t>
      </w:r>
      <w:r w:rsidR="001B18FE">
        <w:t xml:space="preserve"> </w:t>
      </w:r>
      <w:r w:rsidR="001F1010" w:rsidRPr="00EC3C1B">
        <w:t xml:space="preserve">Первичная </w:t>
      </w:r>
      <w:proofErr w:type="spellStart"/>
      <w:r w:rsidR="001F1010" w:rsidRPr="00EC3C1B">
        <w:t>медико</w:t>
      </w:r>
      <w:proofErr w:type="spellEnd"/>
      <w:r w:rsidR="001F1010" w:rsidRPr="00EC3C1B">
        <w:t xml:space="preserve"> - санитарная помощь в малочисленных населенных пунктах Бурлинского района оказывается в фельдшерско-акушерских пунктах, врачебной амбулатории, а в 11 селах население обслуживается фельдшерами поликлиники и </w:t>
      </w:r>
      <w:r w:rsidR="001F1010">
        <w:rPr>
          <w:lang w:val="en-US"/>
        </w:rPr>
        <w:t> </w:t>
      </w:r>
      <w:r w:rsidR="001F1010" w:rsidRPr="00EC3C1B">
        <w:t xml:space="preserve">соседних </w:t>
      </w:r>
      <w:proofErr w:type="spellStart"/>
      <w:r w:rsidR="001F1010" w:rsidRPr="00EC3C1B">
        <w:t>ФАПов</w:t>
      </w:r>
      <w:proofErr w:type="spellEnd"/>
      <w:r w:rsidR="001F1010" w:rsidRPr="00EC3C1B">
        <w:t>.</w:t>
      </w:r>
      <w:r w:rsidR="001B18FE">
        <w:t xml:space="preserve"> </w:t>
      </w:r>
      <w:r w:rsidR="001F1010" w:rsidRPr="00EC3C1B">
        <w:t>В шести населенных пунктах с числом жителей менее 100 человек ПМСП оказывается мобильными медицинскими бригадами, ежемесячно 1-2 раза в месяц.</w:t>
      </w:r>
      <w:r w:rsidR="001B18FE">
        <w:t xml:space="preserve"> </w:t>
      </w:r>
      <w:r w:rsidR="001F1010" w:rsidRPr="00EC3C1B">
        <w:t>В КГБУЗ «Бурлинская ЦРБ» работают 123 человека, из них 12 врачей (9%), 57 человек среднего медицинского персонала (46%), 50 человек прочего медперсонала (40%), младший медицинский персонал -1 человек (0,8%), и кроме этого, 3 работника без медицинского образования, занимающие должности среднего медицинского персонала - медицинские регистраторы (2%).В 2025 г. обеспеченность врачами составила – 15,3 на 10</w:t>
      </w:r>
      <w:r w:rsidR="001F1010">
        <w:rPr>
          <w:lang w:val="en-US"/>
        </w:rPr>
        <w:t> </w:t>
      </w:r>
      <w:r w:rsidR="001F1010" w:rsidRPr="00EC3C1B">
        <w:t xml:space="preserve">000 населения, обеспеченность </w:t>
      </w:r>
      <w:proofErr w:type="gramStart"/>
      <w:r w:rsidR="001F1010" w:rsidRPr="00EC3C1B">
        <w:t>врачами, оказывающими ПМСП составила</w:t>
      </w:r>
      <w:proofErr w:type="gramEnd"/>
      <w:r w:rsidR="001F1010" w:rsidRPr="00EC3C1B">
        <w:t xml:space="preserve"> – 11,5 на 10</w:t>
      </w:r>
      <w:r w:rsidR="001F1010">
        <w:rPr>
          <w:lang w:val="en-US"/>
        </w:rPr>
        <w:t> </w:t>
      </w:r>
      <w:r w:rsidR="001F1010" w:rsidRPr="00EC3C1B">
        <w:t>000 населения.</w:t>
      </w:r>
      <w:r w:rsidR="001B18FE">
        <w:t xml:space="preserve"> </w:t>
      </w:r>
      <w:r w:rsidR="001F1010" w:rsidRPr="00EC3C1B">
        <w:t>В 2025 г. обеспеченность средним медицинским персоналом составила – 72,6 на 10 000 прикрепленного населения, обеспеченность средним медицинским персоналом, оказывающими ПМСП составила – 47,1 на 10 000 прикрепленного населения</w:t>
      </w:r>
      <w:proofErr w:type="gramStart"/>
      <w:r w:rsidR="001B18FE">
        <w:t xml:space="preserve"> </w:t>
      </w:r>
      <w:r w:rsidR="001F1010" w:rsidRPr="00EC3C1B">
        <w:t>.</w:t>
      </w:r>
      <w:proofErr w:type="gramEnd"/>
      <w:r w:rsidR="001F1010" w:rsidRPr="00EC3C1B">
        <w:t>По направлениям, которые в той или иной мере затрагивают охрану здоровья жителей района, реализуются 9 ведомственных целевых программ.</w:t>
      </w:r>
      <w:r w:rsidR="001B18FE">
        <w:t xml:space="preserve"> </w:t>
      </w:r>
      <w:r w:rsidR="001F1010" w:rsidRPr="00EC3C1B">
        <w:t>Администрацией района в рамках имеющихся полномочий принимаются все возможные меры по созданию условий для повышения уровня медицинского обслуживания населения.</w:t>
      </w:r>
      <w:r w:rsidR="001B18FE">
        <w:t xml:space="preserve"> </w:t>
      </w:r>
      <w:r w:rsidR="001F1010" w:rsidRPr="00EC3C1B">
        <w:t xml:space="preserve">Вопросы здоровья населения района рассматриваются на сессиях РСНД, Совете Администрации района, на ежемесячных совещаниях с главами сельсоветов, руководителями предприятий и организаций районного центра. Глава района совместно с главным </w:t>
      </w:r>
      <w:r w:rsidR="001F1010" w:rsidRPr="00EC3C1B">
        <w:lastRenderedPageBreak/>
        <w:t>врачом ЦРБ проводят встречи с населением на сходах граждан в населенных пунктах района.</w:t>
      </w:r>
      <w:r w:rsidR="001F1010">
        <w:rPr>
          <w:lang w:val="en-US"/>
        </w:rPr>
        <w:t> </w:t>
      </w:r>
      <w:r w:rsidR="001F1010" w:rsidRPr="00EC3C1B">
        <w:t xml:space="preserve"> </w:t>
      </w:r>
    </w:p>
    <w:p w:rsidR="001B18FE" w:rsidRDefault="001B18FE" w:rsidP="001F1010">
      <w:pPr>
        <w:spacing w:line="276" w:lineRule="auto"/>
        <w:jc w:val="both"/>
        <w:divId w:val="1972859180"/>
      </w:pPr>
      <w:r>
        <w:tab/>
      </w:r>
      <w:r w:rsidR="001F1010" w:rsidRPr="00EC3C1B">
        <w:t>Журналисты районной газеты «Бурлинская газета» в течение года публикуют справочно-информационный материал, где рассказывают о людях, занятых в сфере здравоохранения.</w:t>
      </w:r>
      <w:r>
        <w:t xml:space="preserve"> </w:t>
      </w:r>
      <w:r w:rsidR="001F1010" w:rsidRPr="00EC3C1B">
        <w:t>Ежегодно руководителями учреждений и предприятий совместно с КГБУЗ «Бурлинская ЦРБ» проводится работа по привлечению жителей района, работающих в учреждениях и на предприятиях, к прохождению диспансерных медицинских осмотров, вакцинации против гриппа, клещевого энцефалита.</w:t>
      </w:r>
      <w:r>
        <w:t xml:space="preserve"> </w:t>
      </w:r>
      <w:r w:rsidR="001F1010" w:rsidRPr="00EC3C1B">
        <w:t xml:space="preserve">В районе организован муниципальный автобусный маршрут между райцентром и населенными пунктами. Один раз в неделю автобус выполняет рейс в </w:t>
      </w:r>
      <w:proofErr w:type="gramStart"/>
      <w:r w:rsidR="001F1010" w:rsidRPr="00EC3C1B">
        <w:t>г</w:t>
      </w:r>
      <w:proofErr w:type="gramEnd"/>
      <w:r w:rsidR="001F1010" w:rsidRPr="00EC3C1B">
        <w:t xml:space="preserve">. Славгород с остановкой у </w:t>
      </w:r>
      <w:proofErr w:type="spellStart"/>
      <w:r w:rsidR="001F1010" w:rsidRPr="00EC3C1B">
        <w:t>горбольницы</w:t>
      </w:r>
      <w:proofErr w:type="spellEnd"/>
      <w:r w:rsidR="001F1010" w:rsidRPr="00EC3C1B">
        <w:t>. Это позволяет для определенной категории жителей района улучшить транспортную доступность к социально значимым учреждениям и организациям.</w:t>
      </w:r>
      <w:r>
        <w:t xml:space="preserve"> </w:t>
      </w:r>
      <w:r w:rsidR="001F1010" w:rsidRPr="00EC3C1B">
        <w:t>В 2025 году выделены земельные участки, подведены коммуникации тепл</w:t>
      </w:r>
      <w:proofErr w:type="gramStart"/>
      <w:r w:rsidR="001F1010" w:rsidRPr="00EC3C1B">
        <w:t>о-</w:t>
      </w:r>
      <w:proofErr w:type="gramEnd"/>
      <w:r w:rsidR="001F1010" w:rsidRPr="00EC3C1B">
        <w:t xml:space="preserve"> и </w:t>
      </w:r>
      <w:proofErr w:type="spellStart"/>
      <w:r w:rsidR="001F1010" w:rsidRPr="00EC3C1B">
        <w:t>водообеспечения</w:t>
      </w:r>
      <w:proofErr w:type="spellEnd"/>
      <w:r w:rsidR="001F1010" w:rsidRPr="00EC3C1B">
        <w:t xml:space="preserve"> под строительство двух модульных </w:t>
      </w:r>
      <w:proofErr w:type="spellStart"/>
      <w:r w:rsidR="001F1010" w:rsidRPr="00EC3C1B">
        <w:t>ФАПов</w:t>
      </w:r>
      <w:proofErr w:type="spellEnd"/>
      <w:r w:rsidR="001F1010" w:rsidRPr="00EC3C1B">
        <w:t>. При проведении капитальных ремонтов и нового строительства в образовательных организациях предусмотрено выделение помещений для медицинских кабинетов. В последующем такие кабинеты будут оснащены необходимым оборудованием, что даст возможность провести их лицензирование.</w:t>
      </w:r>
      <w:r>
        <w:t xml:space="preserve"> </w:t>
      </w:r>
      <w:r w:rsidR="001F1010" w:rsidRPr="00EC3C1B">
        <w:t>Все здания и объекты здравоохранения в районе имеют стабильное обеспечение услугами ЖКХ, ко всем зданиям обустроена надлежащая транспортная доступность.</w:t>
      </w:r>
      <w:r>
        <w:rPr>
          <w:lang w:val="en-US"/>
        </w:rPr>
        <w:t> </w:t>
      </w:r>
    </w:p>
    <w:p w:rsidR="001B18FE" w:rsidRDefault="001B18FE" w:rsidP="001F1010">
      <w:pPr>
        <w:spacing w:line="276" w:lineRule="auto"/>
        <w:jc w:val="both"/>
        <w:divId w:val="1972859180"/>
      </w:pPr>
      <w:r>
        <w:tab/>
      </w:r>
      <w:r w:rsidR="001F1010" w:rsidRPr="00EC3C1B">
        <w:t>Одной из главных проблем остается решение вопросов медицинских кадров – врачей. Руководство ЦРБ активно работает по подготовке специалистов и привлечению их к работе в районе. Для этого ежегодно на конкурсной основе распределяются целевые направления для поступления в АГМУ, ведется целевой набор в учреждения среднего профессионального образования.</w:t>
      </w:r>
      <w:r w:rsidR="001F1010">
        <w:rPr>
          <w:lang w:val="en-US"/>
        </w:rPr>
        <w:t> </w:t>
      </w:r>
      <w:r w:rsidR="001F1010" w:rsidRPr="00EC3C1B">
        <w:t xml:space="preserve"> Администрация района готова оказывать в этом направлении посильную помощь. В районе разработана и принята программа «О привлечении и закреплении медицинских кадров на территории муниципального образования Бурлинский район на 2025-2030 годы». Это уже пролонгированная редакция, программа действует с 2018 года. К сожалению, применить её в полном объёме удалось только в отношении 2 молодых специалистов, один из них не выполнил условия и вернул в бюджет района полученные финансовые меры поддержки.</w:t>
      </w:r>
      <w:r w:rsidR="001F1010">
        <w:rPr>
          <w:lang w:val="en-US"/>
        </w:rPr>
        <w:t> </w:t>
      </w:r>
    </w:p>
    <w:p w:rsidR="001B18FE" w:rsidRDefault="001B18FE" w:rsidP="001F1010">
      <w:pPr>
        <w:spacing w:line="276" w:lineRule="auto"/>
        <w:jc w:val="both"/>
        <w:divId w:val="1972859180"/>
      </w:pPr>
      <w:r>
        <w:tab/>
      </w:r>
      <w:r w:rsidR="001F1010" w:rsidRPr="00EC3C1B">
        <w:t>Физическая культура и спорт.</w:t>
      </w:r>
      <w:r>
        <w:t xml:space="preserve"> </w:t>
      </w:r>
      <w:r w:rsidR="001F1010" w:rsidRPr="00EC3C1B">
        <w:t>Деятельность в сфере физической культуры и спорта в районе осуществлялось в соответствии с программой «Развитие физической культуры и спорта в Бурлинском районе на 2025-2030 годы».</w:t>
      </w:r>
      <w:r>
        <w:t xml:space="preserve"> </w:t>
      </w:r>
      <w:r w:rsidR="001F1010" w:rsidRPr="00EC3C1B">
        <w:t>В соответствии с разработанным в районе поэтапным планом внедрения системы ГТО с 2016 года началась сдача норм комплекса Всероссийского физкультурно-спортивного комплекса «Готов к труду и обороне». В 2025 году приняли участие в сдаче норм комплекса ГТО 22 человека.(2024-86).</w:t>
      </w:r>
      <w:r>
        <w:t xml:space="preserve"> </w:t>
      </w:r>
      <w:r w:rsidR="001F1010" w:rsidRPr="00EC3C1B">
        <w:t>Календарь спортивно-массовых и физкультурно-оздоровительных мероприятий на 2025 год включал 38 районных, краевых и межрайонных мероприятий. Сборные команды по волейболу и настольному теннису п</w:t>
      </w:r>
      <w:r>
        <w:t>риняли участие в зо</w:t>
      </w:r>
      <w:r w:rsidR="001F1010" w:rsidRPr="00EC3C1B">
        <w:t>н</w:t>
      </w:r>
      <w:r>
        <w:t>альных соревнованиях по волейболу и настольному теннису, в рам</w:t>
      </w:r>
      <w:r w:rsidR="001F1010" w:rsidRPr="00EC3C1B">
        <w:t xml:space="preserve">ках </w:t>
      </w:r>
      <w:r w:rsidR="001F1010">
        <w:rPr>
          <w:lang w:val="en-US"/>
        </w:rPr>
        <w:t>XLV</w:t>
      </w:r>
      <w:r>
        <w:t xml:space="preserve"> лет</w:t>
      </w:r>
      <w:r w:rsidR="001F1010" w:rsidRPr="00EC3C1B">
        <w:t>ней о</w:t>
      </w:r>
      <w:r>
        <w:t>лимпиады сельских спортсменов Алтайско</w:t>
      </w:r>
      <w:r w:rsidR="001F1010" w:rsidRPr="00EC3C1B">
        <w:t>го края. Участвуя в зональн</w:t>
      </w:r>
      <w:r>
        <w:t>ых отборочных соревнованиях рам</w:t>
      </w:r>
      <w:r w:rsidR="001F1010" w:rsidRPr="00EC3C1B">
        <w:t xml:space="preserve">ках </w:t>
      </w:r>
      <w:r w:rsidR="001F1010">
        <w:rPr>
          <w:lang w:val="en-US"/>
        </w:rPr>
        <w:t>XLV</w:t>
      </w:r>
      <w:r>
        <w:t xml:space="preserve"> летней олимпиады сель</w:t>
      </w:r>
      <w:r w:rsidR="001F1010" w:rsidRPr="00EC3C1B">
        <w:t>ских сп</w:t>
      </w:r>
      <w:r>
        <w:t>ортсменов Алтайско</w:t>
      </w:r>
      <w:r w:rsidR="001F1010" w:rsidRPr="00EC3C1B">
        <w:t xml:space="preserve">го края в селе </w:t>
      </w:r>
      <w:proofErr w:type="spellStart"/>
      <w:r w:rsidR="001F1010" w:rsidRPr="00EC3C1B">
        <w:t>Гальбштадт</w:t>
      </w:r>
      <w:proofErr w:type="spellEnd"/>
      <w:r w:rsidR="001F1010" w:rsidRPr="00EC3C1B">
        <w:t xml:space="preserve">, мужская команда по настольному теннису </w:t>
      </w:r>
      <w:r w:rsidR="001F1010">
        <w:rPr>
          <w:lang w:val="en-US"/>
        </w:rPr>
        <w:t> </w:t>
      </w:r>
      <w:r w:rsidR="001F1010" w:rsidRPr="00EC3C1B">
        <w:t>заняла 3 место.</w:t>
      </w:r>
      <w:r>
        <w:t xml:space="preserve"> </w:t>
      </w:r>
      <w:r w:rsidR="001F1010" w:rsidRPr="00EC3C1B">
        <w:t xml:space="preserve">В течение года проведены районные </w:t>
      </w:r>
      <w:r w:rsidR="001F1010">
        <w:rPr>
          <w:lang w:val="en-US"/>
        </w:rPr>
        <w:t> </w:t>
      </w:r>
      <w:r w:rsidR="001F1010" w:rsidRPr="00EC3C1B">
        <w:t xml:space="preserve">турниры по волейболу, футболу, баскетболу, </w:t>
      </w:r>
      <w:r w:rsidR="001F1010" w:rsidRPr="00EC3C1B">
        <w:lastRenderedPageBreak/>
        <w:t>хоккею, мини-футболу, настольному теннису, шахматам, пляжному волейболу и волейболу, соревнования по зимнему спортивному лову рыбы на мормышку.</w:t>
      </w:r>
      <w:r>
        <w:t xml:space="preserve"> </w:t>
      </w:r>
      <w:r w:rsidR="001F1010" w:rsidRPr="00EC3C1B">
        <w:t>Финансовые средства, предусмотренные в бюджете района для развития взрослого спорта в сумме 150 тыс. рублей, освоены в полном объеме, приобретен необходимый спортинвентарь.</w:t>
      </w:r>
      <w:r w:rsidR="001F1010">
        <w:rPr>
          <w:lang w:val="en-US"/>
        </w:rPr>
        <w:t> </w:t>
      </w:r>
      <w:r w:rsidR="001F1010" w:rsidRPr="00EC3C1B">
        <w:t>Молодежная политика.</w:t>
      </w:r>
      <w:r>
        <w:t xml:space="preserve"> </w:t>
      </w:r>
      <w:r w:rsidR="001F1010" w:rsidRPr="00EC3C1B">
        <w:t xml:space="preserve">Организаторская работа в сфере молодежной политики района осуществлялась комитетом по культуре и Советом молодежи при Администрации района, который состоит из 14 человек. В отчетном году было проведены 2 заседания Совета, организованы 53 </w:t>
      </w:r>
      <w:proofErr w:type="gramStart"/>
      <w:r w:rsidR="001F1010" w:rsidRPr="00EC3C1B">
        <w:t>различных</w:t>
      </w:r>
      <w:proofErr w:type="gramEnd"/>
      <w:r w:rsidR="001F1010" w:rsidRPr="00EC3C1B">
        <w:t xml:space="preserve"> мероприятия. (2024-23).</w:t>
      </w:r>
      <w:r w:rsidR="001F1010">
        <w:rPr>
          <w:lang w:val="en-US"/>
        </w:rPr>
        <w:t> </w:t>
      </w:r>
      <w:r w:rsidR="001F1010" w:rsidRPr="00EC3C1B">
        <w:t xml:space="preserve"> </w:t>
      </w:r>
      <w:r>
        <w:tab/>
      </w:r>
      <w:r w:rsidR="001F1010" w:rsidRPr="00EC3C1B">
        <w:t>Представители молодежи района приняли участие в молодежном международном образовательном форуме «Алтай. Территория развития-2025» в городе Белокурихе, в сессиях Молодежного Парламента Алтайского края.</w:t>
      </w:r>
      <w:r>
        <w:t xml:space="preserve"> </w:t>
      </w:r>
      <w:r w:rsidR="001F1010" w:rsidRPr="00EC3C1B">
        <w:t>Представители молодежи Бурлинского района стали участниками</w:t>
      </w:r>
      <w:r w:rsidR="001F1010">
        <w:rPr>
          <w:lang w:val="en-US"/>
        </w:rPr>
        <w:t> </w:t>
      </w:r>
      <w:r>
        <w:t xml:space="preserve"> краевого форума «</w:t>
      </w:r>
      <w:proofErr w:type="spellStart"/>
      <w:r>
        <w:t>Навигатор+</w:t>
      </w:r>
      <w:proofErr w:type="spellEnd"/>
      <w:r>
        <w:t xml:space="preserve">», который проходил для лидеров добровольческого движения, их наставников и специалистов молодежной политики </w:t>
      </w:r>
      <w:proofErr w:type="spellStart"/>
      <w:r>
        <w:t>Славгородского</w:t>
      </w:r>
      <w:proofErr w:type="spellEnd"/>
      <w:r>
        <w:t xml:space="preserve"> окру</w:t>
      </w:r>
      <w:r w:rsidR="001F1010" w:rsidRPr="00EC3C1B">
        <w:t xml:space="preserve">га.8 волонтёров из отряда «Путь добра», прошли </w:t>
      </w:r>
      <w:proofErr w:type="gramStart"/>
      <w:r w:rsidR="001F1010" w:rsidRPr="00EC3C1B">
        <w:t>обучение по вопросу</w:t>
      </w:r>
      <w:proofErr w:type="gramEnd"/>
      <w:r w:rsidR="001F1010" w:rsidRPr="00EC3C1B">
        <w:t xml:space="preserve">, профилактики </w:t>
      </w:r>
      <w:proofErr w:type="spellStart"/>
      <w:r w:rsidR="001F1010" w:rsidRPr="00EC3C1B">
        <w:t>Вич</w:t>
      </w:r>
      <w:proofErr w:type="spellEnd"/>
      <w:r w:rsidR="001F1010" w:rsidRPr="00EC3C1B">
        <w:t xml:space="preserve"> – инфекции в рамках межведомственного проекта «Я знаю - я живу».</w:t>
      </w:r>
      <w:r>
        <w:t xml:space="preserve"> </w:t>
      </w:r>
    </w:p>
    <w:p w:rsidR="001B18FE" w:rsidRDefault="001B18FE" w:rsidP="001F1010">
      <w:pPr>
        <w:spacing w:line="276" w:lineRule="auto"/>
        <w:jc w:val="both"/>
        <w:divId w:val="1972859180"/>
      </w:pPr>
      <w:r>
        <w:tab/>
      </w:r>
      <w:r w:rsidR="001F1010" w:rsidRPr="00EC3C1B">
        <w:t>В 2025 году на базе МБУК «МФКЦ» Бурлинского района при отделе районный Дом культуры был открыт центр подготовки Международного волонтёрского корпуса</w:t>
      </w:r>
      <w:r>
        <w:t xml:space="preserve"> к 80-</w:t>
      </w:r>
      <w:r w:rsidR="001F1010" w:rsidRPr="00EC3C1B">
        <w:t>й годовщине Победы в Великой Отечественной войне, где организован отряд «Волонтёры Победы»</w:t>
      </w:r>
      <w:proofErr w:type="gramStart"/>
      <w:r w:rsidR="001F1010" w:rsidRPr="00EC3C1B">
        <w:t>.В</w:t>
      </w:r>
      <w:proofErr w:type="gramEnd"/>
      <w:r w:rsidR="001F1010" w:rsidRPr="00EC3C1B">
        <w:t>олонтёрское движение в Бурлинском районе растёт и развивается. В 2025 году по сравнению с 2024 годом количество официально зарегистрированных добровольцев на территории Бурлинского района увеличилось и составило 465 человек. (2024- 380 человек.)</w:t>
      </w:r>
      <w:r>
        <w:t xml:space="preserve"> </w:t>
      </w:r>
    </w:p>
    <w:p w:rsidR="001B18FE" w:rsidRDefault="001B18FE" w:rsidP="001F1010">
      <w:pPr>
        <w:spacing w:line="276" w:lineRule="auto"/>
        <w:jc w:val="both"/>
        <w:divId w:val="1972859180"/>
      </w:pPr>
      <w:r>
        <w:tab/>
      </w:r>
      <w:r w:rsidR="001F1010" w:rsidRPr="00EC3C1B">
        <w:t>В районе активно действуют 7 волонтёрских отрядов - в с. Михайловка -</w:t>
      </w:r>
      <w:r>
        <w:t xml:space="preserve"> </w:t>
      </w:r>
      <w:r w:rsidR="001F1010" w:rsidRPr="00EC3C1B">
        <w:t xml:space="preserve">«Свет МСШ», в с. </w:t>
      </w:r>
      <w:proofErr w:type="spellStart"/>
      <w:r w:rsidR="001F1010" w:rsidRPr="00EC3C1B">
        <w:t>Устьянка</w:t>
      </w:r>
      <w:proofErr w:type="spellEnd"/>
      <w:r w:rsidR="001F1010" w:rsidRPr="00EC3C1B">
        <w:t xml:space="preserve"> - «Хранители истории» и </w:t>
      </w:r>
      <w:proofErr w:type="gramStart"/>
      <w:r w:rsidR="001F1010" w:rsidRPr="00EC3C1B">
        <w:t>в</w:t>
      </w:r>
      <w:proofErr w:type="gramEnd"/>
      <w:r w:rsidR="001F1010" w:rsidRPr="00EC3C1B">
        <w:t xml:space="preserve"> с. Бурла 2 отряда: «Путь добра» и «Импульс», в с. </w:t>
      </w:r>
      <w:proofErr w:type="spellStart"/>
      <w:r w:rsidR="001F1010" w:rsidRPr="00EC3C1B">
        <w:t>Новопесчаное</w:t>
      </w:r>
      <w:proofErr w:type="spellEnd"/>
      <w:r w:rsidR="001F1010" w:rsidRPr="00EC3C1B">
        <w:t xml:space="preserve"> - «Искры</w:t>
      </w:r>
      <w:proofErr w:type="gramStart"/>
      <w:r w:rsidR="001F1010" w:rsidRPr="00EC3C1B">
        <w:t xml:space="preserve"> П</w:t>
      </w:r>
      <w:proofErr w:type="gramEnd"/>
      <w:r w:rsidR="001F1010" w:rsidRPr="00EC3C1B">
        <w:t>ервых», с. Новоандреевка - «Друзья», в с. Орехово - «Добрые сердца».</w:t>
      </w:r>
      <w:r w:rsidR="001F1010">
        <w:rPr>
          <w:lang w:val="en-US"/>
        </w:rPr>
        <w:t> </w:t>
      </w:r>
      <w:r w:rsidR="001F1010" w:rsidRPr="00EC3C1B">
        <w:t xml:space="preserve">В декабре 2025 года проведен </w:t>
      </w:r>
      <w:r w:rsidR="001F1010">
        <w:rPr>
          <w:lang w:val="en-US"/>
        </w:rPr>
        <w:t>I</w:t>
      </w:r>
      <w:r w:rsidR="001F1010" w:rsidRPr="00EC3C1B">
        <w:t xml:space="preserve"> районный слёт юных волонтёров Бурлинского района.</w:t>
      </w:r>
      <w:r w:rsidR="001F1010">
        <w:rPr>
          <w:lang w:val="en-US"/>
        </w:rPr>
        <w:t> </w:t>
      </w:r>
      <w:r w:rsidR="001F1010" w:rsidRPr="00EC3C1B">
        <w:t xml:space="preserve"> За 2025 год волонтерскими отрядами</w:t>
      </w:r>
      <w:r w:rsidR="001F1010">
        <w:rPr>
          <w:lang w:val="en-US"/>
        </w:rPr>
        <w:t>  </w:t>
      </w:r>
      <w:r w:rsidR="001F1010" w:rsidRPr="00EC3C1B">
        <w:t xml:space="preserve"> проведено более 60 мероприятий. Активное участие волонтеры Бурлинского района принимают в региональной акции «Добро в муниципалитетах», в краевом месячнике ЗОЖ «Живи здорово!» и других краевых акциях.</w:t>
      </w:r>
      <w:r>
        <w:t xml:space="preserve"> </w:t>
      </w:r>
    </w:p>
    <w:p w:rsidR="001B18FE" w:rsidRDefault="001B18FE" w:rsidP="001F1010">
      <w:pPr>
        <w:spacing w:line="276" w:lineRule="auto"/>
        <w:jc w:val="both"/>
        <w:divId w:val="1972859180"/>
      </w:pPr>
      <w:r>
        <w:tab/>
      </w:r>
      <w:r w:rsidR="001F1010" w:rsidRPr="00EC3C1B">
        <w:t>На территории Бурлинского района действует муниципальная программа «Обеспечение жильем молодых семей в Бурлинском районе» на 2020-2025 годы. По состоянию на 01.01.2025 на учете не состояли молодые семьи, нуждающихся в улучшении жилищных условий. (2024-1 семья).В районе продолжает работу местное отделение Общероссийского общественно-государственного движения детей и молодежи «Движение</w:t>
      </w:r>
      <w:proofErr w:type="gramStart"/>
      <w:r w:rsidR="001F1010" w:rsidRPr="00EC3C1B">
        <w:t xml:space="preserve"> П</w:t>
      </w:r>
      <w:proofErr w:type="gramEnd"/>
      <w:r w:rsidR="001F1010" w:rsidRPr="00EC3C1B">
        <w:t xml:space="preserve">ервых». Всего </w:t>
      </w:r>
      <w:proofErr w:type="gramStart"/>
      <w:r w:rsidR="001F1010" w:rsidRPr="00EC3C1B">
        <w:t>на конец</w:t>
      </w:r>
      <w:proofErr w:type="gramEnd"/>
      <w:r w:rsidR="001F1010" w:rsidRPr="00EC3C1B">
        <w:t xml:space="preserve"> 2025 года 688 человек являются участниками Движения. С самого начала созданы Совет муниципального образования, который состоит из 9 участников и Совет</w:t>
      </w:r>
      <w:proofErr w:type="gramStart"/>
      <w:r w:rsidR="001F1010" w:rsidRPr="00EC3C1B">
        <w:t xml:space="preserve"> П</w:t>
      </w:r>
      <w:proofErr w:type="gramEnd"/>
      <w:r w:rsidR="001F1010" w:rsidRPr="00EC3C1B">
        <w:t>ервых муниципального образования, который состоит из председателей Первичных отделений.</w:t>
      </w:r>
      <w:r>
        <w:t xml:space="preserve"> </w:t>
      </w:r>
    </w:p>
    <w:p w:rsidR="0074511A" w:rsidRPr="00EC3C1B" w:rsidRDefault="001B18FE" w:rsidP="001F1010">
      <w:pPr>
        <w:spacing w:line="276" w:lineRule="auto"/>
        <w:jc w:val="both"/>
        <w:divId w:val="1972859180"/>
      </w:pPr>
      <w:r>
        <w:tab/>
      </w:r>
      <w:r w:rsidR="001F1010" w:rsidRPr="00EC3C1B">
        <w:t>В 2025 году создан Муниципальный координационный Совет при Администрации района (МКС), который состоит из 9 участников.</w:t>
      </w:r>
      <w:r>
        <w:t xml:space="preserve"> </w:t>
      </w:r>
      <w:r w:rsidR="001F1010" w:rsidRPr="00EC3C1B">
        <w:t>Активисты Бурлинского района приняли участие во многих акциях и мероприятиях: «Конкурс грантов Движения</w:t>
      </w:r>
      <w:proofErr w:type="gramStart"/>
      <w:r w:rsidR="001F1010" w:rsidRPr="00EC3C1B">
        <w:t xml:space="preserve"> П</w:t>
      </w:r>
      <w:proofErr w:type="gramEnd"/>
      <w:r w:rsidR="001F1010" w:rsidRPr="00EC3C1B">
        <w:t>ервых», «Всероссийский конкурс среди первичных отделений», «Марафон первичных отделений Первые на Алтае 22». Команды школ заняли два вторых места и одно третье место, получили призы от регионального отделения.</w:t>
      </w:r>
      <w:r w:rsidR="001F1010">
        <w:rPr>
          <w:lang w:val="en-US"/>
        </w:rPr>
        <w:t> </w:t>
      </w:r>
      <w:r w:rsidR="001F1010" w:rsidRPr="00EC3C1B">
        <w:t xml:space="preserve">В школах прошли </w:t>
      </w:r>
      <w:r w:rsidR="001F1010" w:rsidRPr="00EC3C1B">
        <w:lastRenderedPageBreak/>
        <w:t>отборочный и муниципальный этап «Военно-патриотической игры Зарница 2.0».Проведен муниципальный этап Всероссийского проекта "Вызов</w:t>
      </w:r>
      <w:proofErr w:type="gramStart"/>
      <w:r w:rsidR="001F1010" w:rsidRPr="00EC3C1B">
        <w:t xml:space="preserve"> П</w:t>
      </w:r>
      <w:proofErr w:type="gramEnd"/>
      <w:r w:rsidR="001F1010" w:rsidRPr="00EC3C1B">
        <w:t xml:space="preserve">ервых", в котором принял участие 61 обучающийся общеобразовательных школ. Региональный этап прошел в </w:t>
      </w:r>
      <w:proofErr w:type="gramStart"/>
      <w:r w:rsidR="001F1010" w:rsidRPr="00EC3C1B">
        <w:t>г</w:t>
      </w:r>
      <w:proofErr w:type="gramEnd"/>
      <w:r w:rsidR="001F1010" w:rsidRPr="00EC3C1B">
        <w:t>. Барнауле. Команда «Бурлинские барсы» заняли 2 место среди 3 категории участников.</w:t>
      </w:r>
      <w:r>
        <w:t xml:space="preserve"> </w:t>
      </w:r>
      <w:r w:rsidR="001F1010" w:rsidRPr="00EC3C1B">
        <w:t>В рамках Всероссийской программа "Мы - граждане России" торжественно вручены паспорта 20 юным гражданам РФ.</w:t>
      </w:r>
      <w:r>
        <w:t xml:space="preserve"> </w:t>
      </w:r>
      <w:r w:rsidR="001F1010" w:rsidRPr="00EC3C1B">
        <w:t>В каждом Первичном отделении ребята взяли шефство над ветеранами педагогического труда и семьями участников СВО. Кроме того, они помогают собирать посылки военнослужащим, пишут письма солдатам.</w:t>
      </w:r>
      <w:r>
        <w:t xml:space="preserve"> </w:t>
      </w:r>
      <w:r w:rsidR="001F1010" w:rsidRPr="00EC3C1B">
        <w:t>В первичных отделениях работают отряды «Хранители истории», которые занимаются уборкой, расчисткой памятников, сбором информации, несут почетные караулы на акциях и в памятные даты.</w:t>
      </w:r>
      <w:r>
        <w:t xml:space="preserve"> </w:t>
      </w:r>
      <w:r w:rsidR="001F1010" w:rsidRPr="00EC3C1B">
        <w:t>Администрация района и комитет по образованию Бурлинского района в течение года выделяли средства на приобретение билетов для поездок и транспортные средства.</w:t>
      </w:r>
      <w:r w:rsidR="001F1010">
        <w:rPr>
          <w:lang w:val="en-US"/>
        </w:rPr>
        <w:t> </w:t>
      </w:r>
      <w:r w:rsidR="001F1010" w:rsidRPr="00EC3C1B">
        <w:t>Члены Движения</w:t>
      </w:r>
      <w:proofErr w:type="gramStart"/>
      <w:r w:rsidR="001F1010" w:rsidRPr="00EC3C1B">
        <w:t xml:space="preserve"> П</w:t>
      </w:r>
      <w:proofErr w:type="gramEnd"/>
      <w:r w:rsidR="001F1010" w:rsidRPr="00EC3C1B">
        <w:t>ервых приняли участие в международных, общероссийских и региональных слетах и сменах: Сибирский Артек -</w:t>
      </w:r>
      <w:r w:rsidR="001F1010">
        <w:rPr>
          <w:lang w:val="en-US"/>
        </w:rPr>
        <w:t> </w:t>
      </w:r>
      <w:r w:rsidR="001F1010" w:rsidRPr="00EC3C1B">
        <w:t xml:space="preserve"> Евгения </w:t>
      </w:r>
      <w:proofErr w:type="spellStart"/>
      <w:r w:rsidR="001F1010" w:rsidRPr="00EC3C1B">
        <w:t>Шарова</w:t>
      </w:r>
      <w:proofErr w:type="spellEnd"/>
      <w:r w:rsidR="001F1010" w:rsidRPr="00EC3C1B">
        <w:t>, Международный Артек –</w:t>
      </w:r>
      <w:proofErr w:type="spellStart"/>
      <w:r w:rsidR="001F1010" w:rsidRPr="00EC3C1B">
        <w:t>Асия</w:t>
      </w:r>
      <w:proofErr w:type="spellEnd"/>
      <w:r w:rsidR="001F1010" w:rsidRPr="00EC3C1B">
        <w:t xml:space="preserve"> Насырова, слет членов Совета</w:t>
      </w:r>
      <w:proofErr w:type="gramStart"/>
      <w:r w:rsidR="001F1010" w:rsidRPr="00EC3C1B">
        <w:t xml:space="preserve"> П</w:t>
      </w:r>
      <w:proofErr w:type="gramEnd"/>
      <w:r w:rsidR="001F1010" w:rsidRPr="00EC3C1B">
        <w:t xml:space="preserve">ервых регионального отделения в детском лагере с. </w:t>
      </w:r>
      <w:proofErr w:type="spellStart"/>
      <w:r w:rsidR="001F1010" w:rsidRPr="00EC3C1B">
        <w:t>Уба</w:t>
      </w:r>
      <w:proofErr w:type="spellEnd"/>
      <w:r w:rsidR="001F1010" w:rsidRPr="00EC3C1B">
        <w:t xml:space="preserve">–Дмитрий </w:t>
      </w:r>
      <w:proofErr w:type="spellStart"/>
      <w:r w:rsidR="001F1010" w:rsidRPr="00EC3C1B">
        <w:t>Ковальцов</w:t>
      </w:r>
      <w:proofErr w:type="spellEnd"/>
      <w:r w:rsidR="001F1010" w:rsidRPr="00EC3C1B">
        <w:t xml:space="preserve">, смена во Всероссийском Детском Центре «Океан» - Екатерина Симонова. Приняли участие в региональной Конференции в г. Барнауле, посетили окружные мероприятия </w:t>
      </w:r>
      <w:proofErr w:type="gramStart"/>
      <w:r w:rsidR="001F1010" w:rsidRPr="00EC3C1B">
        <w:t>в</w:t>
      </w:r>
      <w:proofErr w:type="gramEnd"/>
      <w:r w:rsidR="001F1010" w:rsidRPr="00EC3C1B">
        <w:t xml:space="preserve"> с. Хабары и с. Благовещенка.</w:t>
      </w:r>
    </w:p>
    <w:p w:rsidR="0074511A" w:rsidRDefault="0074511A">
      <w:pPr>
        <w:spacing w:after="240" w:line="276" w:lineRule="auto"/>
        <w:divId w:val="1537622445"/>
      </w:pPr>
      <w:r>
        <w:br/>
      </w:r>
      <w:r>
        <w:br/>
      </w:r>
    </w:p>
    <w:tbl>
      <w:tblPr>
        <w:tblW w:w="0" w:type="auto"/>
        <w:jc w:val="right"/>
        <w:tblCellSpacing w:w="15" w:type="dxa"/>
        <w:tblCellMar>
          <w:top w:w="15" w:type="dxa"/>
          <w:left w:w="15" w:type="dxa"/>
          <w:bottom w:w="15" w:type="dxa"/>
          <w:right w:w="15" w:type="dxa"/>
        </w:tblCellMar>
        <w:tblLook w:val="04A0"/>
      </w:tblPr>
      <w:tblGrid>
        <w:gridCol w:w="758"/>
        <w:gridCol w:w="1260"/>
        <w:gridCol w:w="3937"/>
      </w:tblGrid>
      <w:tr w:rsidR="0074511A" w:rsidTr="008E0719">
        <w:trPr>
          <w:divId w:val="1191646061"/>
          <w:tblCellSpacing w:w="15" w:type="dxa"/>
          <w:jc w:val="right"/>
        </w:trPr>
        <w:tc>
          <w:tcPr>
            <w:tcW w:w="0" w:type="auto"/>
            <w:vAlign w:val="center"/>
            <w:hideMark/>
          </w:tcPr>
          <w:p w:rsidR="0074511A" w:rsidRPr="001F1010" w:rsidRDefault="001F1010" w:rsidP="008E0719">
            <w:pPr>
              <w:spacing w:line="276" w:lineRule="auto"/>
              <w:jc w:val="right"/>
              <w:rPr>
                <w:sz w:val="28"/>
                <w:szCs w:val="28"/>
                <w:lang w:val="en-US"/>
              </w:rPr>
            </w:pPr>
            <w:r>
              <w:rPr>
                <w:sz w:val="28"/>
                <w:szCs w:val="28"/>
                <w:lang w:val="en-US"/>
              </w:rPr>
              <w:t>Глава</w:t>
            </w:r>
          </w:p>
        </w:tc>
        <w:tc>
          <w:tcPr>
            <w:tcW w:w="0" w:type="auto"/>
            <w:vAlign w:val="bottom"/>
            <w:hideMark/>
          </w:tcPr>
          <w:p w:rsidR="0074511A" w:rsidRDefault="0074511A">
            <w:r>
              <w:t>__________</w:t>
            </w:r>
          </w:p>
        </w:tc>
        <w:tc>
          <w:tcPr>
            <w:tcW w:w="0" w:type="auto"/>
            <w:vAlign w:val="bottom"/>
            <w:hideMark/>
          </w:tcPr>
          <w:p w:rsidR="0074511A" w:rsidRPr="001F1010" w:rsidRDefault="001F1010">
            <w:pPr>
              <w:spacing w:line="276" w:lineRule="auto"/>
              <w:rPr>
                <w:sz w:val="28"/>
                <w:szCs w:val="28"/>
                <w:lang w:val="en-US"/>
              </w:rPr>
            </w:pPr>
            <w:r>
              <w:rPr>
                <w:sz w:val="28"/>
                <w:szCs w:val="28"/>
                <w:lang w:val="en-US"/>
              </w:rPr>
              <w:t>Давыденко Сергей Анатольевич</w:t>
            </w:r>
          </w:p>
        </w:tc>
      </w:tr>
      <w:tr w:rsidR="0074511A" w:rsidTr="008E0719">
        <w:trPr>
          <w:divId w:val="1191646061"/>
          <w:tblCellSpacing w:w="15" w:type="dxa"/>
          <w:jc w:val="right"/>
        </w:trPr>
        <w:tc>
          <w:tcPr>
            <w:tcW w:w="0" w:type="auto"/>
            <w:vAlign w:val="center"/>
            <w:hideMark/>
          </w:tcPr>
          <w:p w:rsidR="0074511A" w:rsidRDefault="0074511A">
            <w:r>
              <w:t> </w:t>
            </w:r>
          </w:p>
        </w:tc>
        <w:tc>
          <w:tcPr>
            <w:tcW w:w="0" w:type="auto"/>
            <w:hideMark/>
          </w:tcPr>
          <w:p w:rsidR="0074511A" w:rsidRDefault="0074511A">
            <w:r>
              <w:t>(подпись)</w:t>
            </w:r>
          </w:p>
        </w:tc>
        <w:tc>
          <w:tcPr>
            <w:tcW w:w="0" w:type="auto"/>
            <w:vAlign w:val="center"/>
            <w:hideMark/>
          </w:tcPr>
          <w:p w:rsidR="0074511A" w:rsidRDefault="0074511A">
            <w:r>
              <w:t> </w:t>
            </w:r>
          </w:p>
        </w:tc>
      </w:tr>
    </w:tbl>
    <w:tbl>
      <w:tblPr>
        <w:tblW w:w="0" w:type="auto"/>
        <w:tblCellSpacing w:w="15" w:type="dxa"/>
        <w:tblCellMar>
          <w:top w:w="15" w:type="dxa"/>
          <w:left w:w="15" w:type="dxa"/>
          <w:bottom w:w="15" w:type="dxa"/>
          <w:right w:w="15" w:type="dxa"/>
        </w:tblCellMar>
        <w:tblLook w:val="04A0"/>
      </w:tblPr>
      <w:tblGrid>
        <w:gridCol w:w="5595"/>
        <w:gridCol w:w="81"/>
      </w:tblGrid>
      <w:tr w:rsidR="0074511A">
        <w:trPr>
          <w:divId w:val="1537622445"/>
          <w:tblCellSpacing w:w="15" w:type="dxa"/>
        </w:trPr>
        <w:tc>
          <w:tcPr>
            <w:tcW w:w="5550" w:type="dxa"/>
            <w:vAlign w:val="center"/>
            <w:hideMark/>
          </w:tcPr>
          <w:p w:rsidR="0074511A" w:rsidRDefault="0074511A">
            <w:r>
              <w:t> </w:t>
            </w:r>
          </w:p>
        </w:tc>
        <w:tc>
          <w:tcPr>
            <w:tcW w:w="0" w:type="auto"/>
            <w:vAlign w:val="center"/>
            <w:hideMark/>
          </w:tcPr>
          <w:p w:rsidR="0074511A" w:rsidRDefault="0074511A"/>
        </w:tc>
      </w:tr>
    </w:tbl>
    <w:p w:rsidR="0074511A" w:rsidRDefault="0074511A">
      <w:pPr>
        <w:divId w:val="1537622445"/>
      </w:pPr>
    </w:p>
    <w:sectPr w:rsidR="0074511A" w:rsidSect="00D47142">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3003" w:rsidRDefault="00B53003" w:rsidP="00D47142">
      <w:r>
        <w:separator/>
      </w:r>
    </w:p>
  </w:endnote>
  <w:endnote w:type="continuationSeparator" w:id="0">
    <w:p w:rsidR="00B53003" w:rsidRDefault="00B53003" w:rsidP="00D471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142" w:rsidRDefault="00D47142">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142" w:rsidRDefault="00200B31" w:rsidP="00D47142">
    <w:pPr>
      <w:pStyle w:val="a6"/>
      <w:jc w:val="right"/>
    </w:pPr>
    <w:r>
      <w:fldChar w:fldCharType="begin"/>
    </w:r>
    <w:r w:rsidR="00D47142">
      <w:instrText xml:space="preserve"> PAGE  \* MERGEFORMAT </w:instrText>
    </w:r>
    <w:r>
      <w:fldChar w:fldCharType="separate"/>
    </w:r>
    <w:r w:rsidR="001B18FE">
      <w:rPr>
        <w:noProof/>
      </w:rPr>
      <w:t>15</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142" w:rsidRDefault="00D4714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3003" w:rsidRDefault="00B53003" w:rsidP="00D47142">
      <w:r>
        <w:separator/>
      </w:r>
    </w:p>
  </w:footnote>
  <w:footnote w:type="continuationSeparator" w:id="0">
    <w:p w:rsidR="00B53003" w:rsidRDefault="00B53003" w:rsidP="00D471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142" w:rsidRDefault="00D47142">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142" w:rsidRDefault="00D47142">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142" w:rsidRDefault="00D47142">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D47142"/>
    <w:rsid w:val="000D3D3D"/>
    <w:rsid w:val="0015389F"/>
    <w:rsid w:val="001B18FE"/>
    <w:rsid w:val="001F1010"/>
    <w:rsid w:val="00200B31"/>
    <w:rsid w:val="00467A05"/>
    <w:rsid w:val="005A1D93"/>
    <w:rsid w:val="00705BA6"/>
    <w:rsid w:val="0074511A"/>
    <w:rsid w:val="008E0719"/>
    <w:rsid w:val="00954C8F"/>
    <w:rsid w:val="00B53003"/>
    <w:rsid w:val="00C97D56"/>
    <w:rsid w:val="00D47142"/>
    <w:rsid w:val="00EC3C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B3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 (веб)1"/>
    <w:basedOn w:val="a"/>
    <w:uiPriority w:val="99"/>
    <w:unhideWhenUsed/>
    <w:rsid w:val="00200B31"/>
    <w:pPr>
      <w:spacing w:before="100" w:beforeAutospacing="1" w:after="100" w:afterAutospacing="1"/>
    </w:pPr>
  </w:style>
  <w:style w:type="character" w:styleId="a3">
    <w:name w:val="Strong"/>
    <w:basedOn w:val="a0"/>
    <w:uiPriority w:val="22"/>
    <w:qFormat/>
    <w:rsid w:val="00200B31"/>
    <w:rPr>
      <w:b/>
      <w:bCs/>
    </w:rPr>
  </w:style>
  <w:style w:type="paragraph" w:styleId="a4">
    <w:name w:val="header"/>
    <w:basedOn w:val="a"/>
    <w:link w:val="a5"/>
    <w:uiPriority w:val="99"/>
    <w:semiHidden/>
    <w:unhideWhenUsed/>
    <w:rsid w:val="00D47142"/>
    <w:pPr>
      <w:tabs>
        <w:tab w:val="center" w:pos="4677"/>
        <w:tab w:val="right" w:pos="9355"/>
      </w:tabs>
    </w:pPr>
  </w:style>
  <w:style w:type="character" w:customStyle="1" w:styleId="a5">
    <w:name w:val="Верхний колонтитул Знак"/>
    <w:basedOn w:val="a0"/>
    <w:link w:val="a4"/>
    <w:uiPriority w:val="99"/>
    <w:semiHidden/>
    <w:rsid w:val="00D47142"/>
    <w:rPr>
      <w:rFonts w:eastAsia="Times New Roman"/>
      <w:sz w:val="24"/>
      <w:szCs w:val="24"/>
    </w:rPr>
  </w:style>
  <w:style w:type="paragraph" w:styleId="a6">
    <w:name w:val="footer"/>
    <w:basedOn w:val="a"/>
    <w:link w:val="a7"/>
    <w:uiPriority w:val="99"/>
    <w:semiHidden/>
    <w:unhideWhenUsed/>
    <w:rsid w:val="00D47142"/>
    <w:pPr>
      <w:tabs>
        <w:tab w:val="center" w:pos="4677"/>
        <w:tab w:val="right" w:pos="9355"/>
      </w:tabs>
    </w:pPr>
  </w:style>
  <w:style w:type="character" w:customStyle="1" w:styleId="a7">
    <w:name w:val="Нижний колонтитул Знак"/>
    <w:basedOn w:val="a0"/>
    <w:link w:val="a6"/>
    <w:uiPriority w:val="99"/>
    <w:semiHidden/>
    <w:rsid w:val="00D47142"/>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divs>
    <w:div w:id="1537622445">
      <w:marLeft w:val="0"/>
      <w:marRight w:val="0"/>
      <w:marTop w:val="0"/>
      <w:marBottom w:val="0"/>
      <w:divBdr>
        <w:top w:val="none" w:sz="0" w:space="0" w:color="auto"/>
        <w:left w:val="none" w:sz="0" w:space="0" w:color="auto"/>
        <w:bottom w:val="none" w:sz="0" w:space="0" w:color="auto"/>
        <w:right w:val="none" w:sz="0" w:space="0" w:color="auto"/>
      </w:divBdr>
      <w:divsChild>
        <w:div w:id="223301121">
          <w:marLeft w:val="300"/>
          <w:marRight w:val="0"/>
          <w:marTop w:val="0"/>
          <w:marBottom w:val="0"/>
          <w:divBdr>
            <w:top w:val="none" w:sz="0" w:space="0" w:color="auto"/>
            <w:left w:val="none" w:sz="0" w:space="0" w:color="auto"/>
            <w:bottom w:val="none" w:sz="0" w:space="0" w:color="auto"/>
            <w:right w:val="none" w:sz="0" w:space="0" w:color="auto"/>
          </w:divBdr>
        </w:div>
        <w:div w:id="1450320109">
          <w:marLeft w:val="300"/>
          <w:marRight w:val="0"/>
          <w:marTop w:val="0"/>
          <w:marBottom w:val="0"/>
          <w:divBdr>
            <w:top w:val="none" w:sz="0" w:space="0" w:color="auto"/>
            <w:left w:val="none" w:sz="0" w:space="0" w:color="auto"/>
            <w:bottom w:val="none" w:sz="0" w:space="0" w:color="auto"/>
            <w:right w:val="none" w:sz="0" w:space="0" w:color="auto"/>
          </w:divBdr>
        </w:div>
        <w:div w:id="1006633197">
          <w:marLeft w:val="300"/>
          <w:marRight w:val="0"/>
          <w:marTop w:val="0"/>
          <w:marBottom w:val="0"/>
          <w:divBdr>
            <w:top w:val="none" w:sz="0" w:space="0" w:color="auto"/>
            <w:left w:val="none" w:sz="0" w:space="0" w:color="auto"/>
            <w:bottom w:val="none" w:sz="0" w:space="0" w:color="auto"/>
            <w:right w:val="none" w:sz="0" w:space="0" w:color="auto"/>
          </w:divBdr>
        </w:div>
        <w:div w:id="672149918">
          <w:marLeft w:val="300"/>
          <w:marRight w:val="0"/>
          <w:marTop w:val="0"/>
          <w:marBottom w:val="0"/>
          <w:divBdr>
            <w:top w:val="none" w:sz="0" w:space="0" w:color="auto"/>
            <w:left w:val="none" w:sz="0" w:space="0" w:color="auto"/>
            <w:bottom w:val="none" w:sz="0" w:space="0" w:color="auto"/>
            <w:right w:val="none" w:sz="0" w:space="0" w:color="auto"/>
          </w:divBdr>
        </w:div>
        <w:div w:id="1356543834">
          <w:marLeft w:val="300"/>
          <w:marRight w:val="0"/>
          <w:marTop w:val="0"/>
          <w:marBottom w:val="0"/>
          <w:divBdr>
            <w:top w:val="none" w:sz="0" w:space="0" w:color="auto"/>
            <w:left w:val="none" w:sz="0" w:space="0" w:color="auto"/>
            <w:bottom w:val="none" w:sz="0" w:space="0" w:color="auto"/>
            <w:right w:val="none" w:sz="0" w:space="0" w:color="auto"/>
          </w:divBdr>
        </w:div>
        <w:div w:id="1611469857">
          <w:marLeft w:val="300"/>
          <w:marRight w:val="0"/>
          <w:marTop w:val="0"/>
          <w:marBottom w:val="0"/>
          <w:divBdr>
            <w:top w:val="none" w:sz="0" w:space="0" w:color="auto"/>
            <w:left w:val="none" w:sz="0" w:space="0" w:color="auto"/>
            <w:bottom w:val="none" w:sz="0" w:space="0" w:color="auto"/>
            <w:right w:val="none" w:sz="0" w:space="0" w:color="auto"/>
          </w:divBdr>
        </w:div>
        <w:div w:id="1437944105">
          <w:marLeft w:val="300"/>
          <w:marRight w:val="0"/>
          <w:marTop w:val="0"/>
          <w:marBottom w:val="0"/>
          <w:divBdr>
            <w:top w:val="none" w:sz="0" w:space="0" w:color="auto"/>
            <w:left w:val="none" w:sz="0" w:space="0" w:color="auto"/>
            <w:bottom w:val="none" w:sz="0" w:space="0" w:color="auto"/>
            <w:right w:val="none" w:sz="0" w:space="0" w:color="auto"/>
          </w:divBdr>
        </w:div>
        <w:div w:id="1904366202">
          <w:marLeft w:val="300"/>
          <w:marRight w:val="0"/>
          <w:marTop w:val="0"/>
          <w:marBottom w:val="0"/>
          <w:divBdr>
            <w:top w:val="none" w:sz="0" w:space="0" w:color="auto"/>
            <w:left w:val="none" w:sz="0" w:space="0" w:color="auto"/>
            <w:bottom w:val="none" w:sz="0" w:space="0" w:color="auto"/>
            <w:right w:val="none" w:sz="0" w:space="0" w:color="auto"/>
          </w:divBdr>
        </w:div>
        <w:div w:id="1972859180">
          <w:marLeft w:val="300"/>
          <w:marRight w:val="0"/>
          <w:marTop w:val="0"/>
          <w:marBottom w:val="0"/>
          <w:divBdr>
            <w:top w:val="none" w:sz="0" w:space="0" w:color="auto"/>
            <w:left w:val="none" w:sz="0" w:space="0" w:color="auto"/>
            <w:bottom w:val="none" w:sz="0" w:space="0" w:color="auto"/>
            <w:right w:val="none" w:sz="0" w:space="0" w:color="auto"/>
          </w:divBdr>
        </w:div>
        <w:div w:id="1191646061">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7549</Words>
  <Characters>43030</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GUEI</Company>
  <LinksUpToDate>false</LinksUpToDate>
  <CharactersWithSpaces>50479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webadmin</dc:creator>
  <cp:lastModifiedBy>Economika</cp:lastModifiedBy>
  <cp:revision>2</cp:revision>
  <cp:lastPrinted>2026-04-22T01:50:00Z</cp:lastPrinted>
  <dcterms:created xsi:type="dcterms:W3CDTF">2026-04-22T01:51:00Z</dcterms:created>
  <dcterms:modified xsi:type="dcterms:W3CDTF">2026-04-22T01:51:00Z</dcterms:modified>
</cp:coreProperties>
</file>