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6C" w:rsidRDefault="0095146C" w:rsidP="0095146C">
      <w:pPr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/ПРОЕКТ/</w:t>
      </w:r>
    </w:p>
    <w:p w:rsidR="0095146C" w:rsidRDefault="0095146C" w:rsidP="0063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9A4" w:rsidRPr="000635EE" w:rsidRDefault="006339A4" w:rsidP="0063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РОССИЙСКАЯ ФЕДЕРАЦИЯ   </w:t>
      </w:r>
    </w:p>
    <w:p w:rsidR="006339A4" w:rsidRPr="006339A4" w:rsidRDefault="006339A4" w:rsidP="00633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5EE">
        <w:rPr>
          <w:rFonts w:ascii="Times New Roman" w:hAnsi="Times New Roman" w:cs="Times New Roman"/>
          <w:b/>
          <w:bCs/>
          <w:sz w:val="28"/>
          <w:szCs w:val="28"/>
        </w:rPr>
        <w:t xml:space="preserve">СЕЛЬСКОЕ СОБРАНИЕ ДЕПУТАТОВ НОВОАНДРЕЕВСКОГО СЕЛЬСОВЕТА  </w:t>
      </w:r>
      <w:r w:rsidRPr="000635EE">
        <w:rPr>
          <w:rFonts w:ascii="Times New Roman" w:hAnsi="Times New Roman" w:cs="Times New Roman"/>
          <w:b/>
          <w:sz w:val="28"/>
          <w:szCs w:val="28"/>
        </w:rPr>
        <w:t>БУРЛИНСКОГО РАЙОНА АЛТАЙСКОГО КРАЯ</w:t>
      </w:r>
    </w:p>
    <w:p w:rsidR="006339A4" w:rsidRPr="000635EE" w:rsidRDefault="006339A4" w:rsidP="006339A4">
      <w:pPr>
        <w:keepNext/>
        <w:keepLines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iCs/>
          <w:sz w:val="28"/>
          <w:szCs w:val="28"/>
          <w:lang w:eastAsia="ru-RU"/>
        </w:rPr>
      </w:pPr>
      <w:proofErr w:type="gramStart"/>
      <w:r w:rsidRPr="000635EE">
        <w:rPr>
          <w:rFonts w:ascii="Times New Roman" w:eastAsiaTheme="majorEastAsia" w:hAnsi="Times New Roman" w:cs="Times New Roman"/>
          <w:b/>
          <w:bCs/>
          <w:iCs/>
          <w:sz w:val="28"/>
          <w:szCs w:val="28"/>
          <w:lang w:eastAsia="ru-RU"/>
        </w:rPr>
        <w:t>Р</w:t>
      </w:r>
      <w:proofErr w:type="gramEnd"/>
      <w:r w:rsidRPr="000635EE">
        <w:rPr>
          <w:rFonts w:ascii="Times New Roman" w:eastAsiaTheme="majorEastAsia" w:hAnsi="Times New Roman" w:cs="Times New Roman"/>
          <w:b/>
          <w:bCs/>
          <w:iCs/>
          <w:sz w:val="28"/>
          <w:szCs w:val="28"/>
          <w:lang w:eastAsia="ru-RU"/>
        </w:rPr>
        <w:t xml:space="preserve"> Е Ш Е Н И Е</w:t>
      </w:r>
    </w:p>
    <w:p w:rsidR="006339A4" w:rsidRPr="000635EE" w:rsidRDefault="006339A4" w:rsidP="006339A4">
      <w:pPr>
        <w:spacing w:line="240" w:lineRule="auto"/>
        <w:rPr>
          <w:lang w:eastAsia="ru-RU"/>
        </w:rPr>
      </w:pPr>
    </w:p>
    <w:p w:rsidR="006339A4" w:rsidRPr="000635EE" w:rsidRDefault="006339A4" w:rsidP="00633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35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2026</w:t>
      </w:r>
      <w:r w:rsidRPr="000635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                                                                                                   №  </w:t>
      </w:r>
    </w:p>
    <w:p w:rsidR="006339A4" w:rsidRPr="000635EE" w:rsidRDefault="006339A4" w:rsidP="0063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proofErr w:type="gramStart"/>
      <w:r w:rsidRPr="000635EE">
        <w:rPr>
          <w:rFonts w:ascii="Times New Roman" w:eastAsia="Times New Roman" w:hAnsi="Times New Roman" w:cs="Times New Roman"/>
          <w:sz w:val="24"/>
          <w:szCs w:val="26"/>
          <w:lang w:eastAsia="ru-RU"/>
        </w:rPr>
        <w:t>с</w:t>
      </w:r>
      <w:proofErr w:type="gramEnd"/>
      <w:r w:rsidRPr="000635E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Новоандреевка </w:t>
      </w:r>
    </w:p>
    <w:p w:rsidR="006339A4" w:rsidRPr="000635EE" w:rsidRDefault="006339A4" w:rsidP="006339A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339A4" w:rsidRPr="000635EE" w:rsidRDefault="006339A4" w:rsidP="006339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35EE">
        <w:rPr>
          <w:rFonts w:ascii="Times New Roman" w:hAnsi="Times New Roman" w:cs="Times New Roman"/>
          <w:b/>
          <w:bCs/>
          <w:sz w:val="28"/>
          <w:szCs w:val="28"/>
        </w:rPr>
        <w:t xml:space="preserve">Об исполнении бюджета муниципального </w:t>
      </w:r>
    </w:p>
    <w:p w:rsidR="006339A4" w:rsidRDefault="006339A4" w:rsidP="006339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35EE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сельское поселение</w:t>
      </w:r>
    </w:p>
    <w:p w:rsidR="006339A4" w:rsidRPr="000635EE" w:rsidRDefault="006339A4" w:rsidP="006339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635EE">
        <w:rPr>
          <w:rFonts w:ascii="Times New Roman" w:hAnsi="Times New Roman" w:cs="Times New Roman"/>
          <w:b/>
          <w:bCs/>
          <w:sz w:val="28"/>
          <w:szCs w:val="28"/>
        </w:rPr>
        <w:t>Новоандреевский</w:t>
      </w:r>
      <w:proofErr w:type="spellEnd"/>
      <w:r w:rsidRPr="000635E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</w:p>
    <w:p w:rsidR="006339A4" w:rsidRPr="000635EE" w:rsidRDefault="006339A4" w:rsidP="006339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635EE">
        <w:rPr>
          <w:rFonts w:ascii="Times New Roman" w:hAnsi="Times New Roman" w:cs="Times New Roman"/>
          <w:b/>
          <w:bCs/>
          <w:sz w:val="28"/>
          <w:szCs w:val="28"/>
        </w:rPr>
        <w:t>Бурлинского</w:t>
      </w:r>
      <w:proofErr w:type="spellEnd"/>
      <w:r w:rsidRPr="000635EE">
        <w:rPr>
          <w:rFonts w:ascii="Times New Roman" w:hAnsi="Times New Roman" w:cs="Times New Roman"/>
          <w:b/>
          <w:bCs/>
          <w:sz w:val="28"/>
          <w:szCs w:val="28"/>
        </w:rPr>
        <w:t xml:space="preserve"> района Алтайского края </w:t>
      </w:r>
    </w:p>
    <w:p w:rsidR="006339A4" w:rsidRPr="000635EE" w:rsidRDefault="006339A4" w:rsidP="006339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35EE">
        <w:rPr>
          <w:rFonts w:ascii="Times New Roman" w:hAnsi="Times New Roman" w:cs="Times New Roman"/>
          <w:b/>
          <w:bCs/>
          <w:sz w:val="28"/>
          <w:szCs w:val="28"/>
        </w:rPr>
        <w:t>за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635E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6339A4" w:rsidRPr="000635EE" w:rsidRDefault="006339A4" w:rsidP="006339A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6339A4" w:rsidRPr="000635EE" w:rsidRDefault="006339A4" w:rsidP="00633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35EE">
        <w:rPr>
          <w:rFonts w:ascii="Times New Roman" w:hAnsi="Times New Roman" w:cs="Times New Roman"/>
          <w:sz w:val="44"/>
          <w:szCs w:val="44"/>
        </w:rPr>
        <w:tab/>
      </w:r>
      <w:r w:rsidRPr="000635EE">
        <w:rPr>
          <w:rFonts w:ascii="Times New Roman" w:hAnsi="Times New Roman" w:cs="Times New Roman"/>
          <w:color w:val="000000"/>
          <w:sz w:val="26"/>
          <w:szCs w:val="26"/>
        </w:rPr>
        <w:t>В соответствии с Уставом муниципального образования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сельское поселение</w:t>
      </w:r>
      <w:r w:rsidRPr="000635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635EE">
        <w:rPr>
          <w:rFonts w:ascii="Times New Roman" w:hAnsi="Times New Roman" w:cs="Times New Roman"/>
          <w:color w:val="000000"/>
          <w:sz w:val="26"/>
          <w:szCs w:val="26"/>
        </w:rPr>
        <w:t>Новоандреевский</w:t>
      </w:r>
      <w:proofErr w:type="spellEnd"/>
      <w:r w:rsidRPr="000635EE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</w:t>
      </w:r>
      <w:r w:rsidRPr="000635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35EE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0635EE">
        <w:rPr>
          <w:rFonts w:ascii="Times New Roman" w:hAnsi="Times New Roman" w:cs="Times New Roman"/>
          <w:sz w:val="26"/>
          <w:szCs w:val="26"/>
        </w:rPr>
        <w:t xml:space="preserve"> района Алтайского края, Положением о бюджетном устройстве, бюджетном процессе и финансовом контроле в муниципальном образовании </w:t>
      </w:r>
      <w:proofErr w:type="spellStart"/>
      <w:r w:rsidRPr="000635EE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0635EE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Pr="000635EE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0635EE"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 края утвержденным Сельским Собранием депутатов от 26.06.2020 №06, рассмотрев представленный администрацией сельсовета отчет </w:t>
      </w:r>
      <w:r w:rsidRPr="000635EE">
        <w:rPr>
          <w:rFonts w:ascii="Times New Roman" w:hAnsi="Times New Roman" w:cs="Times New Roman"/>
          <w:sz w:val="26"/>
          <w:szCs w:val="26"/>
        </w:rPr>
        <w:t xml:space="preserve">об исполнении бюджета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сельское поселение</w:t>
      </w:r>
      <w:r w:rsidRPr="000635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35EE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0635EE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Pr="000635EE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0635EE">
        <w:rPr>
          <w:rFonts w:ascii="Times New Roman" w:hAnsi="Times New Roman" w:cs="Times New Roman"/>
          <w:sz w:val="26"/>
          <w:szCs w:val="26"/>
        </w:rPr>
        <w:t xml:space="preserve"> района Алтайского края за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635EE">
        <w:rPr>
          <w:rFonts w:ascii="Times New Roman" w:hAnsi="Times New Roman" w:cs="Times New Roman"/>
          <w:sz w:val="26"/>
          <w:szCs w:val="26"/>
        </w:rPr>
        <w:t xml:space="preserve"> год, Сельское Собрание депутатов </w:t>
      </w:r>
    </w:p>
    <w:p w:rsidR="006339A4" w:rsidRPr="000635EE" w:rsidRDefault="006339A4" w:rsidP="006339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635EE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0635EE">
        <w:rPr>
          <w:rFonts w:ascii="Times New Roman" w:hAnsi="Times New Roman" w:cs="Times New Roman"/>
          <w:sz w:val="26"/>
          <w:szCs w:val="26"/>
        </w:rPr>
        <w:t xml:space="preserve"> Е Ш И Л О:</w:t>
      </w:r>
    </w:p>
    <w:p w:rsidR="006339A4" w:rsidRPr="000635EE" w:rsidRDefault="006339A4" w:rsidP="006339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635EE">
        <w:rPr>
          <w:rFonts w:ascii="Times New Roman" w:hAnsi="Times New Roman" w:cs="Times New Roman"/>
          <w:sz w:val="26"/>
          <w:szCs w:val="26"/>
        </w:rPr>
        <w:tab/>
      </w:r>
    </w:p>
    <w:p w:rsidR="006339A4" w:rsidRPr="000635EE" w:rsidRDefault="006339A4" w:rsidP="00633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0635EE">
        <w:rPr>
          <w:rFonts w:ascii="Times New Roman" w:hAnsi="Times New Roman" w:cs="Times New Roman"/>
          <w:sz w:val="26"/>
          <w:szCs w:val="26"/>
        </w:rPr>
        <w:t>1. Утвердить отчет об исполнении бюджета за 202</w:t>
      </w:r>
      <w:r>
        <w:rPr>
          <w:rFonts w:ascii="Times New Roman" w:hAnsi="Times New Roman" w:cs="Times New Roman"/>
          <w:sz w:val="26"/>
          <w:szCs w:val="26"/>
        </w:rPr>
        <w:t>5 год по доходам в сумме 1948,5</w:t>
      </w:r>
      <w:r w:rsidRPr="000635EE">
        <w:rPr>
          <w:rFonts w:ascii="Times New Roman" w:hAnsi="Times New Roman" w:cs="Times New Roman"/>
          <w:sz w:val="26"/>
          <w:szCs w:val="26"/>
        </w:rPr>
        <w:t xml:space="preserve"> тыс. рублей, по расходам </w:t>
      </w:r>
      <w:r>
        <w:rPr>
          <w:rFonts w:ascii="Times New Roman" w:eastAsia="Calibri" w:hAnsi="Times New Roman" w:cs="Times New Roman"/>
          <w:sz w:val="24"/>
          <w:szCs w:val="24"/>
        </w:rPr>
        <w:t>1969,3</w:t>
      </w:r>
      <w:r w:rsidRPr="00B521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тыс. рублей с превышением расходов над доходами (де</w:t>
      </w:r>
      <w:r w:rsidRPr="000635EE">
        <w:rPr>
          <w:rFonts w:ascii="Times New Roman" w:hAnsi="Times New Roman" w:cs="Times New Roman"/>
          <w:sz w:val="26"/>
          <w:szCs w:val="26"/>
        </w:rPr>
        <w:t>фицит бюджета се</w:t>
      </w:r>
      <w:r>
        <w:rPr>
          <w:rFonts w:ascii="Times New Roman" w:hAnsi="Times New Roman" w:cs="Times New Roman"/>
          <w:sz w:val="26"/>
          <w:szCs w:val="26"/>
        </w:rPr>
        <w:t>льского поселения) в сумме 20,8</w:t>
      </w:r>
      <w:r w:rsidRPr="000635EE">
        <w:rPr>
          <w:rFonts w:ascii="Times New Roman" w:hAnsi="Times New Roman" w:cs="Times New Roman"/>
          <w:sz w:val="26"/>
          <w:szCs w:val="26"/>
        </w:rPr>
        <w:t xml:space="preserve"> тыс. рублей и со следующими показателями:</w:t>
      </w:r>
    </w:p>
    <w:p w:rsidR="006339A4" w:rsidRPr="000635EE" w:rsidRDefault="006339A4" w:rsidP="00633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0635EE">
        <w:rPr>
          <w:rFonts w:ascii="Times New Roman" w:hAnsi="Times New Roman" w:cs="Times New Roman"/>
          <w:sz w:val="26"/>
          <w:szCs w:val="26"/>
        </w:rPr>
        <w:t>1.1. Доходов бюджета сельского поселения по кодам класс</w:t>
      </w:r>
      <w:r>
        <w:rPr>
          <w:rFonts w:ascii="Times New Roman" w:hAnsi="Times New Roman" w:cs="Times New Roman"/>
          <w:sz w:val="26"/>
          <w:szCs w:val="26"/>
        </w:rPr>
        <w:t xml:space="preserve">ификации доходов бюджета за 2025 </w:t>
      </w:r>
      <w:r w:rsidRPr="000635EE">
        <w:rPr>
          <w:rFonts w:ascii="Times New Roman" w:hAnsi="Times New Roman" w:cs="Times New Roman"/>
          <w:sz w:val="26"/>
          <w:szCs w:val="26"/>
        </w:rPr>
        <w:t>год (приложение 1);</w:t>
      </w:r>
    </w:p>
    <w:p w:rsidR="006339A4" w:rsidRPr="000635EE" w:rsidRDefault="006339A4" w:rsidP="00633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0635EE">
        <w:rPr>
          <w:rFonts w:ascii="Times New Roman" w:hAnsi="Times New Roman" w:cs="Times New Roman"/>
          <w:sz w:val="26"/>
          <w:szCs w:val="26"/>
        </w:rPr>
        <w:t>1.2. Расходов бюджета сельского поселения по ведомственной ст</w:t>
      </w:r>
      <w:r w:rsidR="00D55AB3">
        <w:rPr>
          <w:rFonts w:ascii="Times New Roman" w:hAnsi="Times New Roman" w:cs="Times New Roman"/>
          <w:sz w:val="26"/>
          <w:szCs w:val="26"/>
        </w:rPr>
        <w:t>руктуре расходов бюджета за 2025</w:t>
      </w:r>
      <w:r w:rsidRPr="000635EE">
        <w:rPr>
          <w:rFonts w:ascii="Times New Roman" w:hAnsi="Times New Roman" w:cs="Times New Roman"/>
          <w:sz w:val="26"/>
          <w:szCs w:val="26"/>
        </w:rPr>
        <w:t xml:space="preserve"> год (приложение 2);</w:t>
      </w:r>
    </w:p>
    <w:p w:rsidR="006339A4" w:rsidRPr="000635EE" w:rsidRDefault="006339A4" w:rsidP="00633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0635EE">
        <w:rPr>
          <w:rFonts w:ascii="Times New Roman" w:hAnsi="Times New Roman" w:cs="Times New Roman"/>
          <w:sz w:val="26"/>
          <w:szCs w:val="26"/>
        </w:rPr>
        <w:t>1.3. Расходов бюджета сельского поселения по разделам и подразделам класси</w:t>
      </w:r>
      <w:r w:rsidR="00D55AB3">
        <w:rPr>
          <w:rFonts w:ascii="Times New Roman" w:hAnsi="Times New Roman" w:cs="Times New Roman"/>
          <w:sz w:val="26"/>
          <w:szCs w:val="26"/>
        </w:rPr>
        <w:t>фикации расходов бюджета за 2025</w:t>
      </w:r>
      <w:r w:rsidRPr="000635EE">
        <w:rPr>
          <w:rFonts w:ascii="Times New Roman" w:hAnsi="Times New Roman" w:cs="Times New Roman"/>
          <w:sz w:val="26"/>
          <w:szCs w:val="26"/>
        </w:rPr>
        <w:t xml:space="preserve"> год (приложение 3);</w:t>
      </w:r>
    </w:p>
    <w:p w:rsidR="006339A4" w:rsidRPr="000635EE" w:rsidRDefault="006339A4" w:rsidP="00633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0635EE">
        <w:rPr>
          <w:rFonts w:ascii="Times New Roman" w:hAnsi="Times New Roman" w:cs="Times New Roman"/>
          <w:sz w:val="26"/>
          <w:szCs w:val="26"/>
        </w:rPr>
        <w:t xml:space="preserve">1.4. Источников финансирования дефицита бюджета сельского поселения по кодам </w:t>
      </w:r>
      <w:proofErr w:type="gramStart"/>
      <w:r w:rsidRPr="000635EE">
        <w:rPr>
          <w:rFonts w:ascii="Times New Roman" w:hAnsi="Times New Roman" w:cs="Times New Roman"/>
          <w:sz w:val="26"/>
          <w:szCs w:val="26"/>
        </w:rPr>
        <w:t>классификации источников финанси</w:t>
      </w:r>
      <w:r>
        <w:rPr>
          <w:rFonts w:ascii="Times New Roman" w:hAnsi="Times New Roman" w:cs="Times New Roman"/>
          <w:sz w:val="26"/>
          <w:szCs w:val="26"/>
        </w:rPr>
        <w:t>рования дефицита бюджета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 202</w:t>
      </w:r>
      <w:r w:rsidR="00D55AB3">
        <w:rPr>
          <w:rFonts w:ascii="Times New Roman" w:hAnsi="Times New Roman" w:cs="Times New Roman"/>
          <w:sz w:val="26"/>
          <w:szCs w:val="26"/>
        </w:rPr>
        <w:t>5</w:t>
      </w:r>
      <w:r w:rsidRPr="000635EE">
        <w:rPr>
          <w:rFonts w:ascii="Times New Roman" w:hAnsi="Times New Roman" w:cs="Times New Roman"/>
          <w:sz w:val="26"/>
          <w:szCs w:val="26"/>
        </w:rPr>
        <w:t xml:space="preserve"> год (приложение 4).</w:t>
      </w:r>
    </w:p>
    <w:p w:rsidR="006339A4" w:rsidRDefault="006339A4" w:rsidP="00633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0635EE">
        <w:rPr>
          <w:rFonts w:ascii="Times New Roman" w:hAnsi="Times New Roman" w:cs="Times New Roman"/>
          <w:sz w:val="26"/>
          <w:szCs w:val="26"/>
        </w:rPr>
        <w:t xml:space="preserve">2. </w:t>
      </w:r>
      <w:r w:rsidRPr="00D73DDA">
        <w:rPr>
          <w:rFonts w:ascii="Times New Roman" w:hAnsi="Times New Roman" w:cs="Times New Roman"/>
          <w:kern w:val="32"/>
          <w:sz w:val="26"/>
          <w:szCs w:val="26"/>
          <w:lang w:val="sr-Cyrl-CS" w:eastAsia="sr-Cyrl-CS"/>
        </w:rPr>
        <w:t>О</w:t>
      </w:r>
      <w:r w:rsidRPr="00D73DDA">
        <w:rPr>
          <w:rFonts w:ascii="Times New Roman" w:hAnsi="Times New Roman" w:cs="Times New Roman"/>
          <w:kern w:val="32"/>
          <w:sz w:val="26"/>
          <w:szCs w:val="26"/>
          <w:lang w:eastAsia="sr-Cyrl-CS"/>
        </w:rPr>
        <w:t>публиковать</w:t>
      </w:r>
      <w:r w:rsidRPr="00D73DDA">
        <w:rPr>
          <w:rFonts w:ascii="Times New Roman" w:hAnsi="Times New Roman" w:cs="Times New Roman"/>
          <w:kern w:val="32"/>
          <w:sz w:val="26"/>
          <w:szCs w:val="26"/>
          <w:lang w:val="sr-Cyrl-CS" w:eastAsia="sr-Cyrl-CS"/>
        </w:rPr>
        <w:t xml:space="preserve"> данное решение в </w:t>
      </w:r>
      <w:r w:rsidRPr="00D73DDA">
        <w:rPr>
          <w:rFonts w:ascii="Times New Roman" w:hAnsi="Times New Roman" w:cs="Times New Roman"/>
          <w:sz w:val="26"/>
          <w:szCs w:val="26"/>
        </w:rPr>
        <w:t xml:space="preserve">сетевом издании «Официальный сайт муниципального образования </w:t>
      </w:r>
      <w:proofErr w:type="spellStart"/>
      <w:r w:rsidRPr="00D73DDA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D73DDA">
        <w:rPr>
          <w:rFonts w:ascii="Times New Roman" w:hAnsi="Times New Roman" w:cs="Times New Roman"/>
          <w:sz w:val="26"/>
          <w:szCs w:val="26"/>
        </w:rPr>
        <w:t xml:space="preserve"> район Алтайского края», обнародовать на информационном стенде администрации </w:t>
      </w:r>
      <w:proofErr w:type="spellStart"/>
      <w:r w:rsidRPr="00D73DDA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Pr="00D73DDA">
        <w:rPr>
          <w:rFonts w:ascii="Times New Roman" w:hAnsi="Times New Roman" w:cs="Times New Roman"/>
          <w:sz w:val="26"/>
          <w:szCs w:val="26"/>
        </w:rPr>
        <w:t xml:space="preserve"> сельсовета.</w:t>
      </w:r>
    </w:p>
    <w:p w:rsidR="006339A4" w:rsidRPr="00F105E3" w:rsidRDefault="006339A4" w:rsidP="00633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39A4" w:rsidRDefault="006339A4" w:rsidP="006339A4">
      <w:pPr>
        <w:jc w:val="both"/>
        <w:rPr>
          <w:rFonts w:ascii="Times New Roman" w:hAnsi="Times New Roman" w:cs="Times New Roman"/>
          <w:sz w:val="26"/>
          <w:szCs w:val="26"/>
        </w:rPr>
      </w:pPr>
      <w:r w:rsidRPr="000635EE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0635EE">
        <w:rPr>
          <w:rFonts w:ascii="Times New Roman" w:hAnsi="Times New Roman" w:cs="Times New Roman"/>
          <w:sz w:val="26"/>
          <w:szCs w:val="26"/>
        </w:rPr>
        <w:t xml:space="preserve">    И.В. Ильчук</w:t>
      </w:r>
    </w:p>
    <w:p w:rsidR="006339A4" w:rsidRDefault="006339A4" w:rsidP="006339A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339A4" w:rsidRPr="006339A4" w:rsidRDefault="006339A4" w:rsidP="006339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339A4">
        <w:rPr>
          <w:rFonts w:ascii="Times New Roman" w:eastAsia="Calibri" w:hAnsi="Times New Roman" w:cs="Times New Roman"/>
          <w:sz w:val="24"/>
        </w:rPr>
        <w:t>Приложение 1</w:t>
      </w:r>
    </w:p>
    <w:p w:rsidR="006339A4" w:rsidRPr="006339A4" w:rsidRDefault="006339A4" w:rsidP="006339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339A4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к решению </w:t>
      </w:r>
      <w:proofErr w:type="gramStart"/>
      <w:r w:rsidRPr="006339A4">
        <w:rPr>
          <w:rFonts w:ascii="Times New Roman" w:eastAsia="Calibri" w:hAnsi="Times New Roman" w:cs="Times New Roman"/>
          <w:sz w:val="24"/>
        </w:rPr>
        <w:t>Сельского</w:t>
      </w:r>
      <w:proofErr w:type="gramEnd"/>
      <w:r w:rsidRPr="006339A4">
        <w:rPr>
          <w:rFonts w:ascii="Times New Roman" w:eastAsia="Calibri" w:hAnsi="Times New Roman" w:cs="Times New Roman"/>
          <w:sz w:val="24"/>
        </w:rPr>
        <w:t xml:space="preserve"> </w:t>
      </w:r>
    </w:p>
    <w:p w:rsidR="006339A4" w:rsidRPr="006339A4" w:rsidRDefault="006339A4" w:rsidP="006339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339A4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Собрания  депутатов </w:t>
      </w:r>
    </w:p>
    <w:p w:rsidR="006339A4" w:rsidRPr="006339A4" w:rsidRDefault="006339A4" w:rsidP="006339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339A4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от   .   .202</w:t>
      </w:r>
      <w:r w:rsidR="0095146C">
        <w:rPr>
          <w:rFonts w:ascii="Times New Roman" w:eastAsia="Calibri" w:hAnsi="Times New Roman" w:cs="Times New Roman"/>
          <w:sz w:val="24"/>
        </w:rPr>
        <w:t>6</w:t>
      </w:r>
      <w:r w:rsidRPr="006339A4">
        <w:rPr>
          <w:rFonts w:ascii="Times New Roman" w:eastAsia="Calibri" w:hAnsi="Times New Roman" w:cs="Times New Roman"/>
          <w:sz w:val="24"/>
        </w:rPr>
        <w:t xml:space="preserve"> №</w:t>
      </w:r>
    </w:p>
    <w:p w:rsidR="006339A4" w:rsidRPr="006339A4" w:rsidRDefault="006339A4" w:rsidP="006339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6339A4" w:rsidRPr="006339A4" w:rsidRDefault="006339A4" w:rsidP="006339A4">
      <w:pPr>
        <w:rPr>
          <w:rFonts w:ascii="Times New Roman" w:eastAsia="Calibri" w:hAnsi="Times New Roman" w:cs="Times New Roman"/>
        </w:rPr>
      </w:pP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339A4">
        <w:rPr>
          <w:rFonts w:ascii="Times New Roman" w:eastAsia="Calibri" w:hAnsi="Times New Roman" w:cs="Times New Roman"/>
          <w:sz w:val="24"/>
        </w:rPr>
        <w:t>ДОХОДЫ</w:t>
      </w: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339A4">
        <w:rPr>
          <w:rFonts w:ascii="Times New Roman" w:eastAsia="Calibri" w:hAnsi="Times New Roman" w:cs="Times New Roman"/>
          <w:sz w:val="24"/>
        </w:rPr>
        <w:t>бюджета сельского поселения по кодам классификации доходов за 2025 год</w:t>
      </w: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339A4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               </w:t>
      </w: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6339A4" w:rsidRPr="006339A4" w:rsidRDefault="006339A4" w:rsidP="006339A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339A4">
        <w:rPr>
          <w:rFonts w:ascii="Times New Roman" w:eastAsia="Calibri" w:hAnsi="Times New Roman" w:cs="Times New Roman"/>
          <w:sz w:val="24"/>
        </w:rPr>
        <w:t>рублей</w:t>
      </w:r>
      <w:r w:rsidRPr="006339A4">
        <w:rPr>
          <w:rFonts w:ascii="Times New Roman" w:eastAsia="Calibri" w:hAnsi="Times New Roman" w:cs="Times New Roman"/>
          <w:sz w:val="20"/>
          <w:szCs w:val="20"/>
        </w:rPr>
        <w:fldChar w:fldCharType="begin"/>
      </w:r>
      <w:r w:rsidRPr="006339A4">
        <w:rPr>
          <w:rFonts w:ascii="Times New Roman" w:eastAsia="Calibri" w:hAnsi="Times New Roman" w:cs="Times New Roman"/>
          <w:sz w:val="20"/>
          <w:szCs w:val="20"/>
        </w:rPr>
        <w:instrText xml:space="preserve"> LINK Excel.Sheet.8 "C:\\Users\\fin06\\Desktop\\новоандреевка\\БЮДЖЕТЫ\\Отчет об исполнении бюджетта 2024 год\\2024\\F_0503117of20200101.xls" "Доходы!R14C1:R56C6" \a \f 5 \h  \* MERGEFORMAT </w:instrText>
      </w:r>
      <w:r w:rsidRPr="006339A4">
        <w:rPr>
          <w:rFonts w:ascii="Times New Roman" w:eastAsia="Calibri" w:hAnsi="Times New Roman" w:cs="Times New Roman"/>
          <w:sz w:val="20"/>
          <w:szCs w:val="20"/>
        </w:rPr>
        <w:fldChar w:fldCharType="separate"/>
      </w:r>
    </w:p>
    <w:p w:rsidR="006339A4" w:rsidRPr="006339A4" w:rsidRDefault="006339A4" w:rsidP="006339A4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339A4">
        <w:rPr>
          <w:rFonts w:ascii="Times New Roman" w:eastAsia="Calibri" w:hAnsi="Times New Roman" w:cs="Times New Roman"/>
          <w:sz w:val="20"/>
          <w:szCs w:val="20"/>
        </w:rPr>
        <w:fldChar w:fldCharType="end"/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2407"/>
        <w:gridCol w:w="797"/>
        <w:gridCol w:w="2323"/>
        <w:gridCol w:w="1560"/>
        <w:gridCol w:w="1418"/>
        <w:gridCol w:w="1320"/>
      </w:tblGrid>
      <w:tr w:rsidR="006339A4" w:rsidRPr="006339A4" w:rsidTr="006339A4">
        <w:trPr>
          <w:trHeight w:val="7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6339A4" w:rsidRPr="006339A4" w:rsidTr="006339A4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339A4" w:rsidRPr="006339A4" w:rsidTr="006339A4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</w:t>
            </w:r>
            <w:r w:rsidRPr="006339A4">
              <w:rPr>
                <w:rFonts w:ascii="Calibri" w:eastAsia="Calibri" w:hAnsi="Calibri" w:cs="Times New Roman"/>
              </w:rPr>
              <w:t xml:space="preserve"> </w:t>
            </w: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proofErr w:type="spell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Новоандреевского</w:t>
            </w:r>
            <w:proofErr w:type="spellEnd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Бурлинского</w:t>
            </w:r>
            <w:proofErr w:type="spellEnd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Алтайского края                 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1 948 450,00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1 948 461,17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НАЛОГОВЫЕ И НЕНАЛОГОВЫЕ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475 390,00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475 401,17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24 937,92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24 937,92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256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339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6339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339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</w:t>
            </w:r>
            <w:r w:rsidRPr="006339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Федерации, в виде дивидендов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20 171,32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7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20 171,32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18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не </w:t>
            </w:r>
            <w:proofErr w:type="gram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превышающей</w:t>
            </w:r>
            <w:proofErr w:type="gramEnd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20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не </w:t>
            </w:r>
            <w:proofErr w:type="gram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превышающей</w:t>
            </w:r>
            <w:proofErr w:type="gramEnd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182 10102030011000110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7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</w:t>
            </w: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Российской Федерации, не превышающей 5 миллионов рублей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182 10102210010000110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4 688,60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103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182 10102210011000110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4 688,60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281 844,00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281 845,49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48 800,05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182 10601030100000110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48 800,05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103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182 10601030101000110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48 800,05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182  10606000000000110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233 044,00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233 045,44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182 10606030000000110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185 644,00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185 644,99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182 10606033100000110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185 644,00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185 644,99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7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</w:t>
            </w: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182 10606033101000110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185 644,00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185 644,99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налог с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182 10606040000000110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47 400,45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182 10606043100000110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47 400,45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7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182 10606043101000110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47 400,45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303 11100000000000000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43 129,48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103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303 11105000000000120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43 129,48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103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</w:t>
            </w: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303 11105020000000120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34 374,28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103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303 11105025100000120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34 374,28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103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303 11105030000000120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8 755,20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7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303 11105035100000120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8 755,20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303 11300000000000000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125 485,00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125 488,28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303 11302000000000130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125 485,00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125 488,28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303 11302060000000130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125 485,00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125 488,28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поступающие в порядке возмещения </w:t>
            </w: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расходов, понесенных в связи с эксплуатацией имущества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303 11302065100000130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125 485,00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125 488,28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ПОСТУПЛЕНИЯ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303 20000000000000000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1 473 060,00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1 473 060,00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303 20200000000000000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1 368 060,00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1 368 060,00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303 20210000000000150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303 20216001000000150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303 20216001100000150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303 20230000000000150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303 20235118000000150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7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303 20235118100000150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303 20240000000000150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1 300 760,00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7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</w:t>
            </w: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значения в соответствии с заключенными соглашениями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303 20240014000000150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197 760,00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7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303 20240014100000150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197 760,00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303 20249999000000150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1 103 000,00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303 20249999100000150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1 103 000,00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303 20700000000000000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303 20705000100000150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303 20705020100000150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6339A4" w:rsidRPr="006339A4" w:rsidRDefault="006339A4" w:rsidP="006339A4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339A4" w:rsidRPr="006339A4" w:rsidRDefault="006339A4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339A4">
        <w:rPr>
          <w:rFonts w:ascii="Times New Roman" w:eastAsia="Calibri" w:hAnsi="Times New Roman" w:cs="Times New Roman"/>
          <w:sz w:val="20"/>
          <w:szCs w:val="20"/>
        </w:rPr>
        <w:t xml:space="preserve">Глава сельсовета                                                                                                              И.В. Ильчук </w:t>
      </w:r>
    </w:p>
    <w:p w:rsidR="006339A4" w:rsidRPr="006339A4" w:rsidRDefault="006339A4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339A4" w:rsidRPr="006339A4" w:rsidRDefault="006339A4" w:rsidP="006339A4">
      <w:pPr>
        <w:rPr>
          <w:rFonts w:ascii="Times New Roman" w:eastAsia="Calibri" w:hAnsi="Times New Roman" w:cs="Times New Roman"/>
          <w:sz w:val="20"/>
          <w:szCs w:val="20"/>
        </w:rPr>
      </w:pPr>
    </w:p>
    <w:p w:rsidR="006339A4" w:rsidRPr="006339A4" w:rsidRDefault="006339A4" w:rsidP="006339A4">
      <w:pPr>
        <w:rPr>
          <w:rFonts w:ascii="Times New Roman" w:eastAsia="Calibri" w:hAnsi="Times New Roman" w:cs="Times New Roman"/>
          <w:sz w:val="20"/>
          <w:szCs w:val="20"/>
        </w:rPr>
      </w:pPr>
    </w:p>
    <w:p w:rsidR="0095146C" w:rsidRDefault="006339A4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339A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</w:p>
    <w:p w:rsidR="0095146C" w:rsidRDefault="0095146C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5146C" w:rsidRDefault="0095146C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5146C" w:rsidRDefault="0095146C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5146C" w:rsidRDefault="0095146C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5146C" w:rsidRDefault="0095146C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5146C" w:rsidRDefault="0095146C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5146C" w:rsidRDefault="0095146C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5146C" w:rsidRDefault="0095146C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5146C" w:rsidRDefault="0095146C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5146C" w:rsidRDefault="0095146C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5146C" w:rsidRDefault="0095146C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5146C" w:rsidRDefault="0095146C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5146C" w:rsidRDefault="0095146C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5146C" w:rsidRDefault="0095146C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5146C" w:rsidRDefault="0095146C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5146C" w:rsidRDefault="0095146C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5146C" w:rsidRDefault="0095146C" w:rsidP="006339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339A4" w:rsidRPr="006339A4" w:rsidRDefault="006339A4" w:rsidP="0095146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339A4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Приложение 2</w:t>
      </w:r>
    </w:p>
    <w:p w:rsidR="006339A4" w:rsidRPr="006339A4" w:rsidRDefault="006339A4" w:rsidP="0095146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339A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="0095146C">
        <w:rPr>
          <w:rFonts w:ascii="Times New Roman" w:eastAsia="Calibri" w:hAnsi="Times New Roman" w:cs="Times New Roman"/>
          <w:sz w:val="20"/>
          <w:szCs w:val="20"/>
        </w:rPr>
        <w:t xml:space="preserve">                     к решению </w:t>
      </w:r>
      <w:proofErr w:type="gramStart"/>
      <w:r w:rsidR="0095146C">
        <w:rPr>
          <w:rFonts w:ascii="Times New Roman" w:eastAsia="Calibri" w:hAnsi="Times New Roman" w:cs="Times New Roman"/>
          <w:sz w:val="20"/>
          <w:szCs w:val="20"/>
        </w:rPr>
        <w:t>с</w:t>
      </w:r>
      <w:r w:rsidRPr="006339A4">
        <w:rPr>
          <w:rFonts w:ascii="Times New Roman" w:eastAsia="Calibri" w:hAnsi="Times New Roman" w:cs="Times New Roman"/>
          <w:sz w:val="20"/>
          <w:szCs w:val="20"/>
        </w:rPr>
        <w:t>ельского</w:t>
      </w:r>
      <w:proofErr w:type="gramEnd"/>
      <w:r w:rsidRPr="006339A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6339A4" w:rsidRPr="006339A4" w:rsidRDefault="006339A4" w:rsidP="0095146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339A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Собрания  депутатов </w:t>
      </w:r>
    </w:p>
    <w:p w:rsidR="006339A4" w:rsidRPr="006339A4" w:rsidRDefault="006339A4" w:rsidP="0095146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339A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от   .   .202</w:t>
      </w:r>
      <w:r w:rsidR="0095146C">
        <w:rPr>
          <w:rFonts w:ascii="Times New Roman" w:eastAsia="Calibri" w:hAnsi="Times New Roman" w:cs="Times New Roman"/>
          <w:sz w:val="20"/>
          <w:szCs w:val="20"/>
        </w:rPr>
        <w:t>6</w:t>
      </w:r>
      <w:r w:rsidRPr="006339A4">
        <w:rPr>
          <w:rFonts w:ascii="Times New Roman" w:eastAsia="Calibri" w:hAnsi="Times New Roman" w:cs="Times New Roman"/>
          <w:sz w:val="20"/>
          <w:szCs w:val="20"/>
        </w:rPr>
        <w:t xml:space="preserve"> №</w:t>
      </w: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339A4">
        <w:rPr>
          <w:rFonts w:ascii="Times New Roman" w:eastAsia="Calibri" w:hAnsi="Times New Roman" w:cs="Times New Roman"/>
          <w:sz w:val="20"/>
          <w:szCs w:val="20"/>
        </w:rPr>
        <w:t>РАСХОДЫ</w:t>
      </w: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339A4">
        <w:rPr>
          <w:rFonts w:ascii="Times New Roman" w:eastAsia="Calibri" w:hAnsi="Times New Roman" w:cs="Times New Roman"/>
          <w:sz w:val="20"/>
          <w:szCs w:val="20"/>
        </w:rPr>
        <w:t>бюджета сельского поселения по ведомственной структуре расходов бюджета за 2025 год</w:t>
      </w: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339A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рублей</w:t>
      </w:r>
    </w:p>
    <w:p w:rsidR="006339A4" w:rsidRPr="006339A4" w:rsidRDefault="006339A4" w:rsidP="006339A4">
      <w:pPr>
        <w:jc w:val="both"/>
        <w:rPr>
          <w:rFonts w:ascii="Calibri" w:eastAsia="Calibri" w:hAnsi="Calibri" w:cs="Times New Roman"/>
        </w:rPr>
      </w:pPr>
      <w:r w:rsidRPr="006339A4">
        <w:rPr>
          <w:rFonts w:ascii="Calibri" w:eastAsia="Calibri" w:hAnsi="Calibri" w:cs="Times New Roman"/>
        </w:rPr>
        <w:fldChar w:fldCharType="begin"/>
      </w:r>
      <w:r w:rsidRPr="006339A4">
        <w:rPr>
          <w:rFonts w:ascii="Calibri" w:eastAsia="Calibri" w:hAnsi="Calibri" w:cs="Times New Roman"/>
        </w:rPr>
        <w:instrText xml:space="preserve"> LINK Excel.Sheet.12 "C:\\Users\\fin06\\Desktop\\новоандреевка\\Годовые отчеты\\2025\\F_0503117of20200101.xlsx" "Расходы!R4C1:R100C6" \a \f 4 \h  \* MERGEFORMAT </w:instrText>
      </w:r>
      <w:r w:rsidRPr="006339A4">
        <w:rPr>
          <w:rFonts w:ascii="Calibri" w:eastAsia="Calibri" w:hAnsi="Calibri" w:cs="Times New Roman"/>
        </w:rPr>
        <w:fldChar w:fldCharType="separate"/>
      </w:r>
    </w:p>
    <w:tbl>
      <w:tblPr>
        <w:tblW w:w="9870" w:type="dxa"/>
        <w:tblLayout w:type="fixed"/>
        <w:tblLook w:val="04A0" w:firstRow="1" w:lastRow="0" w:firstColumn="1" w:lastColumn="0" w:noHBand="0" w:noVBand="1"/>
      </w:tblPr>
      <w:tblGrid>
        <w:gridCol w:w="2832"/>
        <w:gridCol w:w="709"/>
        <w:gridCol w:w="2410"/>
        <w:gridCol w:w="1418"/>
        <w:gridCol w:w="1367"/>
        <w:gridCol w:w="1134"/>
      </w:tblGrid>
      <w:tr w:rsidR="006339A4" w:rsidRPr="006339A4" w:rsidTr="006339A4">
        <w:trPr>
          <w:trHeight w:val="7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</w:t>
            </w:r>
            <w:r w:rsidRPr="006339A4">
              <w:rPr>
                <w:rFonts w:ascii="Calibri" w:eastAsia="Calibri" w:hAnsi="Calibri" w:cs="Times New Roman"/>
              </w:rPr>
              <w:t xml:space="preserve"> </w:t>
            </w: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proofErr w:type="spell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Новоандреевского</w:t>
            </w:r>
            <w:proofErr w:type="spellEnd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Бурлинского</w:t>
            </w:r>
            <w:proofErr w:type="spellEnd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Алтайского края                 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2 029 267,00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1 969 264,23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60 002,77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303 0100 0000000000 000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717 344,40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686 849,55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30 494,85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303 0102 0000000000 000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716 644,40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686 149,55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30 494,85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303 0102 0100000000 000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716 644,40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686 149,55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30 494,85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303 0102 0120000000 000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716 644,40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686 149,55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30 494,85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303 0102 0120010120 000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716 644,40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686 149,55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30 494,85</w:t>
            </w:r>
          </w:p>
        </w:tc>
      </w:tr>
      <w:tr w:rsidR="006339A4" w:rsidRPr="006339A4" w:rsidTr="006339A4">
        <w:trPr>
          <w:trHeight w:val="7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303 0102 0120010120 100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716 644,40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686 149,55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30 494,85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303 0102 0120010120 120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716 644,40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686 149,55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30 494,85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303 0102 0120010120 121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543 828,32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543 828,32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303 0102 0120010120 129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172 816,08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142 321,23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30 494,85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303 0113 0000000000 000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303 0113 9800000000 000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303 0113 9850000000 000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10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303 0113 9850060510 000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303 0113 9850060510 500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303 0113 9850060510 540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303 0200 0000000000 000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303 0203 0000000000 000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303 0203 0100000000 000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303 0203 0140000000 000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303 0203 0140051180 000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7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303 0203 0140051180 100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44 057,28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44 057,28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303 0203 0140051180 120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44 057,28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44 057,28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303 0203 0140051180 121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33 838,15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33 838,15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303 0203 0140051180 129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10 219,13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303 0203 0140051180 200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3 342,72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303 0203 0140051180 240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3 342,72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303 0203 0140051180 244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3 342,72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303 0300 0000000000 000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26 938,38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26 938,38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303 0314 0000000000 000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26 938,38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26 938,38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303 0314 1500000000 000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26 938,38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26 938,38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7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"Материально-техническое обеспечение деятельности органов местного самоуправления муниципального образования </w:t>
            </w:r>
            <w:proofErr w:type="spellStart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Бурлинский</w:t>
            </w:r>
            <w:proofErr w:type="spellEnd"/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на 2024-2026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303 0314 1500060990 000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26 938,38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26 938,38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303 0314 1500060990 200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26 938,38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26 938,38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303 0314 1500060990 240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26 938,38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26 938,38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303 0314 1500060990 244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26 938,38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26 938,38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303 0400 0000000000 000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161 819,31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161 819,31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303 0408 0000000000 000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2 059,31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303 0408 9200000000 000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2 059,31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303 0408 9290000000 000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2 059,31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303 0408 9290018080 000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2 059,31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303 0408 9290018080 200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2 059,31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303 0408 9290018080 240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2 059,31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303 0408 9290018080 244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2 059,31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303 0409 0000000000 000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303 0409 9100000000 000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транспорта и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303 0409 9120000000 000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0409 912009Д002 000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0409 912009Д002 200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0409 912009Д002 240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0409 912009Д002 244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303 0500 0000000000 000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156 116,26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146 232,83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9 883,43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303 0502 0000000000 000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141 116,26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131 232,83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9 883,43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303 0502 9200000000 000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141 116,26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131 232,83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9 883,43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303 0502 9290000000 000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141 116,26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131 232,83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9 883,43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303 0502 9290018030 000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141 116,26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131 232,83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9 883,43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303 0502 9290018030 200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141 116,26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131 232,83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9 883,43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303 0502 9290018030 240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141 116,26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131 232,83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9 883,43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303 0502 9290018030 244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33 438,00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303 0502 9290018030 247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107 678,26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97 794,83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9 883,43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303 0503 0000000000 000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303 0503 9200000000 000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303 0503 9290000000 000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303 0503 9290018070 000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303 0503 9290018070 200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303 0503 9290018070 240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303 0503 9290018070 244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 и удаление твердых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303 0503 9290018090 000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303 0503 9290018090 200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303 0503 9290018090 240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303 0503 9290018090 244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303 0800 0000000000 000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919 648,65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900 024,16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19 624,49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303 0804 0000000000 000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919 648,65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900 024,16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19 624,49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303 0804 0200000000 000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917 877,65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898 253,16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19 624,49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303 0804 0250000000 000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917 877,65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898 253,16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19 624,49</w:t>
            </w:r>
          </w:p>
        </w:tc>
      </w:tr>
      <w:tr w:rsidR="006339A4" w:rsidRPr="006339A4" w:rsidTr="006339A4">
        <w:trPr>
          <w:trHeight w:val="7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303 0804 0250010820 000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917 877,65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898 253,16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19 624,49</w:t>
            </w:r>
          </w:p>
        </w:tc>
      </w:tr>
      <w:tr w:rsidR="006339A4" w:rsidRPr="006339A4" w:rsidTr="006339A4">
        <w:trPr>
          <w:trHeight w:val="7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303 0804 0250010820 100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669 709,71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657 086,89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12 622,82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303 0804 0250010820 120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669 709,71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657 086,89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12 622,82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303 0804 0250010820 121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506 056,72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506 056,72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303 0804 0250010820 129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163 652,99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151 030,17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12 622,82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303 0804 0250010820 200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219 751,78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215 843,11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3 908,67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303 0804 0250010820 240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219 751,78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215 843,11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3 908,67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303 0804 0250010820 244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204 292,95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203 332,95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303 0804 0250010820 247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15 458,83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12 510,16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2 948,67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303 0804 0250010820 800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28 416,16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25 323,16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3 093,00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303 0804 0250010820 850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28 416,16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25 323,16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3 093,00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303 0804 0250010820 851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303 0804 0250010820 852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14 955,00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2 991,00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303 0804 0250010820 853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12 883,16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12 883,16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303 0804 9200000000 000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303 0804 9290000000 000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303 0804 9290018080 000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303 0804 9290018080 200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303 0804 9290018080 240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303 0804 9290018080 244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39A4" w:rsidRPr="006339A4" w:rsidTr="006339A4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-80 817,00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-20 803,06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6339A4" w:rsidRPr="006339A4" w:rsidRDefault="006339A4" w:rsidP="006339A4">
      <w:pPr>
        <w:jc w:val="both"/>
        <w:rPr>
          <w:rFonts w:ascii="Times New Roman" w:eastAsia="Calibri" w:hAnsi="Times New Roman" w:cs="Times New Roman"/>
          <w:szCs w:val="26"/>
        </w:rPr>
      </w:pPr>
      <w:r w:rsidRPr="006339A4">
        <w:rPr>
          <w:rFonts w:ascii="Times New Roman" w:eastAsia="Calibri" w:hAnsi="Times New Roman" w:cs="Times New Roman"/>
          <w:szCs w:val="26"/>
        </w:rPr>
        <w:fldChar w:fldCharType="end"/>
      </w:r>
    </w:p>
    <w:p w:rsidR="006339A4" w:rsidRPr="006339A4" w:rsidRDefault="006339A4" w:rsidP="0095146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339A4">
        <w:rPr>
          <w:rFonts w:ascii="Times New Roman" w:eastAsia="Calibri" w:hAnsi="Times New Roman" w:cs="Times New Roman"/>
          <w:sz w:val="24"/>
        </w:rPr>
        <w:t xml:space="preserve">Глава сельсовета                                                                                          </w:t>
      </w:r>
      <w:r w:rsidR="0095146C">
        <w:rPr>
          <w:rFonts w:ascii="Times New Roman" w:eastAsia="Calibri" w:hAnsi="Times New Roman" w:cs="Times New Roman"/>
          <w:sz w:val="24"/>
        </w:rPr>
        <w:t xml:space="preserve">               И.В. Ильчук</w:t>
      </w: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5146C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339A4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</w:t>
      </w:r>
    </w:p>
    <w:p w:rsidR="0095146C" w:rsidRDefault="0095146C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5146C" w:rsidRDefault="0095146C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5146C" w:rsidRDefault="0095146C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5146C" w:rsidRDefault="0095146C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5146C" w:rsidRDefault="0095146C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5146C" w:rsidRDefault="0095146C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5146C" w:rsidRDefault="0095146C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5146C" w:rsidRDefault="0095146C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5146C" w:rsidRDefault="0095146C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5146C" w:rsidRDefault="0095146C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5146C" w:rsidRDefault="0095146C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5146C" w:rsidRDefault="0095146C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5146C" w:rsidRDefault="0095146C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5146C" w:rsidRDefault="0095146C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5146C" w:rsidRDefault="0095146C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6339A4" w:rsidRPr="006339A4" w:rsidRDefault="006339A4" w:rsidP="009514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6339A4">
        <w:rPr>
          <w:rFonts w:ascii="Times New Roman" w:eastAsia="Calibri" w:hAnsi="Times New Roman" w:cs="Times New Roman"/>
          <w:sz w:val="24"/>
        </w:rPr>
        <w:lastRenderedPageBreak/>
        <w:t xml:space="preserve"> Приложение 3</w:t>
      </w:r>
    </w:p>
    <w:p w:rsidR="006339A4" w:rsidRPr="006339A4" w:rsidRDefault="006339A4" w:rsidP="009514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6339A4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</w:t>
      </w:r>
      <w:r w:rsidR="0095146C">
        <w:rPr>
          <w:rFonts w:ascii="Times New Roman" w:eastAsia="Calibri" w:hAnsi="Times New Roman" w:cs="Times New Roman"/>
          <w:sz w:val="24"/>
        </w:rPr>
        <w:t xml:space="preserve">                     к решению </w:t>
      </w:r>
      <w:proofErr w:type="gramStart"/>
      <w:r w:rsidR="0095146C">
        <w:rPr>
          <w:rFonts w:ascii="Times New Roman" w:eastAsia="Calibri" w:hAnsi="Times New Roman" w:cs="Times New Roman"/>
          <w:sz w:val="24"/>
        </w:rPr>
        <w:t>с</w:t>
      </w:r>
      <w:r w:rsidRPr="006339A4">
        <w:rPr>
          <w:rFonts w:ascii="Times New Roman" w:eastAsia="Calibri" w:hAnsi="Times New Roman" w:cs="Times New Roman"/>
          <w:sz w:val="24"/>
        </w:rPr>
        <w:t>ельского</w:t>
      </w:r>
      <w:proofErr w:type="gramEnd"/>
      <w:r w:rsidRPr="006339A4">
        <w:rPr>
          <w:rFonts w:ascii="Times New Roman" w:eastAsia="Calibri" w:hAnsi="Times New Roman" w:cs="Times New Roman"/>
          <w:sz w:val="24"/>
        </w:rPr>
        <w:t xml:space="preserve"> </w:t>
      </w:r>
    </w:p>
    <w:p w:rsidR="006339A4" w:rsidRPr="006339A4" w:rsidRDefault="006339A4" w:rsidP="009514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6339A4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Собрания  депутатов </w:t>
      </w:r>
    </w:p>
    <w:p w:rsidR="006339A4" w:rsidRPr="006339A4" w:rsidRDefault="006339A4" w:rsidP="009514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6339A4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от   .                .202</w:t>
      </w:r>
      <w:r w:rsidR="0095146C">
        <w:rPr>
          <w:rFonts w:ascii="Times New Roman" w:eastAsia="Calibri" w:hAnsi="Times New Roman" w:cs="Times New Roman"/>
          <w:sz w:val="24"/>
        </w:rPr>
        <w:t>6</w:t>
      </w:r>
      <w:r w:rsidRPr="006339A4">
        <w:rPr>
          <w:rFonts w:ascii="Times New Roman" w:eastAsia="Calibri" w:hAnsi="Times New Roman" w:cs="Times New Roman"/>
          <w:sz w:val="24"/>
        </w:rPr>
        <w:t xml:space="preserve"> №</w:t>
      </w: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339A4">
        <w:rPr>
          <w:rFonts w:ascii="Times New Roman" w:eastAsia="Calibri" w:hAnsi="Times New Roman" w:cs="Times New Roman"/>
          <w:sz w:val="24"/>
        </w:rPr>
        <w:t>РАСХОДЫ</w:t>
      </w: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339A4">
        <w:rPr>
          <w:rFonts w:ascii="Times New Roman" w:eastAsia="Calibri" w:hAnsi="Times New Roman" w:cs="Times New Roman"/>
          <w:sz w:val="24"/>
        </w:rPr>
        <w:t>бюджета сельского поселения по разделам и подразделам классификации</w:t>
      </w: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339A4">
        <w:rPr>
          <w:rFonts w:ascii="Times New Roman" w:eastAsia="Calibri" w:hAnsi="Times New Roman" w:cs="Times New Roman"/>
          <w:sz w:val="24"/>
        </w:rPr>
        <w:t xml:space="preserve"> расходов бюджета за 2025 год</w:t>
      </w: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39A4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            рублей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4246"/>
        <w:gridCol w:w="1133"/>
        <w:gridCol w:w="1133"/>
        <w:gridCol w:w="1416"/>
        <w:gridCol w:w="1417"/>
      </w:tblGrid>
      <w:tr w:rsidR="006339A4" w:rsidRPr="006339A4" w:rsidTr="006339A4">
        <w:trPr>
          <w:trHeight w:val="79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339A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339A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Рз</w:t>
            </w:r>
            <w:proofErr w:type="spellEnd"/>
            <w:r w:rsidRPr="006339A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339A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339A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339A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План на 2025г.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339A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Исполнено 2025г.</w:t>
            </w:r>
          </w:p>
        </w:tc>
      </w:tr>
      <w:tr w:rsidR="006339A4" w:rsidRPr="006339A4" w:rsidTr="006339A4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339A4" w:rsidRPr="006339A4" w:rsidTr="006339A4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 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 00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717 344,40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686 849,55</w:t>
            </w:r>
          </w:p>
        </w:tc>
      </w:tr>
      <w:tr w:rsidR="006339A4" w:rsidRPr="006339A4" w:rsidTr="006339A4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02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716 644,40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686 149,55</w:t>
            </w:r>
          </w:p>
        </w:tc>
      </w:tr>
      <w:tr w:rsidR="006339A4" w:rsidRPr="006339A4" w:rsidTr="006339A4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13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39A4" w:rsidRPr="006339A4" w:rsidRDefault="006339A4" w:rsidP="006339A4">
            <w:pPr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39A4" w:rsidRPr="006339A4" w:rsidRDefault="006339A4" w:rsidP="006339A4">
            <w:pPr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>700,00</w:t>
            </w:r>
          </w:p>
        </w:tc>
      </w:tr>
      <w:tr w:rsidR="006339A4" w:rsidRPr="006339A4" w:rsidTr="006339A4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39A4" w:rsidRPr="006339A4" w:rsidRDefault="006339A4" w:rsidP="006339A4">
            <w:pPr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>47 400,00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39A4" w:rsidRPr="006339A4" w:rsidRDefault="006339A4" w:rsidP="006339A4">
            <w:pPr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>47 400,00</w:t>
            </w:r>
          </w:p>
        </w:tc>
      </w:tr>
      <w:tr w:rsidR="006339A4" w:rsidRPr="006339A4" w:rsidTr="006339A4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03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39A4" w:rsidRPr="006339A4" w:rsidRDefault="006339A4" w:rsidP="006339A4">
            <w:pPr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>47 400,00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39A4" w:rsidRPr="006339A4" w:rsidRDefault="006339A4" w:rsidP="006339A4">
            <w:pPr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>47 400,00</w:t>
            </w:r>
          </w:p>
        </w:tc>
      </w:tr>
      <w:tr w:rsidR="006339A4" w:rsidRPr="006339A4" w:rsidTr="006339A4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>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26 938,38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26 938,38</w:t>
            </w:r>
          </w:p>
        </w:tc>
      </w:tr>
      <w:tr w:rsidR="006339A4" w:rsidRPr="006339A4" w:rsidTr="006339A4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00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161 819,31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161 819,31</w:t>
            </w:r>
          </w:p>
        </w:tc>
      </w:tr>
      <w:tr w:rsidR="006339A4" w:rsidRPr="006339A4" w:rsidTr="006339A4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08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39A4" w:rsidRPr="006339A4" w:rsidRDefault="006339A4" w:rsidP="006339A4">
            <w:pPr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39A4" w:rsidRPr="006339A4" w:rsidRDefault="006339A4" w:rsidP="006339A4">
            <w:pPr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>2 000,00</w:t>
            </w:r>
          </w:p>
        </w:tc>
      </w:tr>
      <w:tr w:rsidR="006339A4" w:rsidRPr="006339A4" w:rsidTr="006339A4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09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159 760,00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159 760,00</w:t>
            </w:r>
          </w:p>
        </w:tc>
      </w:tr>
      <w:tr w:rsidR="006339A4" w:rsidRPr="006339A4" w:rsidTr="006339A4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00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156 116,26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146 232,83</w:t>
            </w:r>
          </w:p>
        </w:tc>
      </w:tr>
      <w:tr w:rsidR="006339A4" w:rsidRPr="006339A4" w:rsidTr="006339A4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02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141 116,26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131 232,83</w:t>
            </w:r>
          </w:p>
        </w:tc>
      </w:tr>
      <w:tr w:rsidR="006339A4" w:rsidRPr="006339A4" w:rsidTr="006339A4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03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15 000,</w:t>
            </w:r>
          </w:p>
        </w:tc>
      </w:tr>
      <w:tr w:rsidR="006339A4" w:rsidRPr="006339A4" w:rsidTr="006339A4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00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919 648,65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900 024,16</w:t>
            </w:r>
          </w:p>
        </w:tc>
      </w:tr>
      <w:tr w:rsidR="006339A4" w:rsidRPr="006339A4" w:rsidTr="006339A4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39A4">
              <w:rPr>
                <w:rFonts w:ascii="Calibri" w:eastAsia="Calibri" w:hAnsi="Calibri" w:cs="Times New Roman"/>
              </w:rPr>
              <w:t xml:space="preserve">04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919 648,65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900 024,16</w:t>
            </w:r>
          </w:p>
        </w:tc>
      </w:tr>
      <w:tr w:rsidR="006339A4" w:rsidRPr="006339A4" w:rsidTr="006339A4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3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A4" w:rsidRPr="006339A4" w:rsidRDefault="006339A4" w:rsidP="006339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9EDCD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2 029 267,00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9EDCD"/>
            <w:vAlign w:val="center"/>
            <w:hideMark/>
          </w:tcPr>
          <w:p w:rsidR="006339A4" w:rsidRPr="006339A4" w:rsidRDefault="006339A4" w:rsidP="006339A4">
            <w:pPr>
              <w:spacing w:line="240" w:lineRule="atLeast"/>
              <w:rPr>
                <w:rFonts w:ascii="Segoe UI" w:eastAsia="Calibri" w:hAnsi="Segoe UI" w:cs="Segoe UI"/>
                <w:color w:val="000000"/>
                <w:sz w:val="20"/>
                <w:szCs w:val="20"/>
              </w:rPr>
            </w:pPr>
            <w:r w:rsidRPr="006339A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1 969 264,23</w:t>
            </w:r>
          </w:p>
        </w:tc>
      </w:tr>
    </w:tbl>
    <w:p w:rsidR="006339A4" w:rsidRPr="006339A4" w:rsidRDefault="006339A4" w:rsidP="006339A4">
      <w:pPr>
        <w:rPr>
          <w:rFonts w:ascii="Times New Roman" w:eastAsia="Calibri" w:hAnsi="Times New Roman" w:cs="Times New Roman"/>
          <w:sz w:val="24"/>
        </w:rPr>
      </w:pPr>
    </w:p>
    <w:p w:rsidR="006339A4" w:rsidRPr="006339A4" w:rsidRDefault="006339A4" w:rsidP="006339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339A4">
        <w:rPr>
          <w:rFonts w:ascii="Times New Roman" w:eastAsia="Calibri" w:hAnsi="Times New Roman" w:cs="Times New Roman"/>
          <w:sz w:val="24"/>
        </w:rPr>
        <w:t xml:space="preserve">Глава сельсовета                                                                      </w:t>
      </w:r>
      <w:r w:rsidR="0095146C">
        <w:rPr>
          <w:rFonts w:ascii="Times New Roman" w:eastAsia="Calibri" w:hAnsi="Times New Roman" w:cs="Times New Roman"/>
          <w:sz w:val="24"/>
        </w:rPr>
        <w:t xml:space="preserve">                         </w:t>
      </w:r>
      <w:r w:rsidRPr="006339A4">
        <w:rPr>
          <w:rFonts w:ascii="Times New Roman" w:eastAsia="Calibri" w:hAnsi="Times New Roman" w:cs="Times New Roman"/>
          <w:sz w:val="24"/>
        </w:rPr>
        <w:t xml:space="preserve">        И.В. Ильчук </w:t>
      </w:r>
    </w:p>
    <w:p w:rsidR="006339A4" w:rsidRPr="006339A4" w:rsidRDefault="006339A4" w:rsidP="006339A4">
      <w:pPr>
        <w:jc w:val="both"/>
        <w:rPr>
          <w:rFonts w:ascii="Times New Roman" w:eastAsia="Calibri" w:hAnsi="Times New Roman" w:cs="Times New Roman"/>
          <w:sz w:val="24"/>
        </w:rPr>
      </w:pPr>
    </w:p>
    <w:p w:rsidR="006339A4" w:rsidRPr="006339A4" w:rsidRDefault="006339A4" w:rsidP="006339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6339A4" w:rsidRPr="006339A4" w:rsidRDefault="006339A4" w:rsidP="006339A4">
      <w:pPr>
        <w:rPr>
          <w:rFonts w:ascii="Times New Roman" w:eastAsia="Calibri" w:hAnsi="Times New Roman" w:cs="Times New Roman"/>
          <w:sz w:val="24"/>
        </w:rPr>
      </w:pPr>
    </w:p>
    <w:p w:rsidR="006339A4" w:rsidRPr="006339A4" w:rsidRDefault="006339A4" w:rsidP="006339A4">
      <w:pPr>
        <w:rPr>
          <w:rFonts w:ascii="Times New Roman" w:eastAsia="Calibri" w:hAnsi="Times New Roman" w:cs="Times New Roman"/>
          <w:sz w:val="24"/>
        </w:rPr>
      </w:pPr>
    </w:p>
    <w:p w:rsidR="006339A4" w:rsidRPr="006339A4" w:rsidRDefault="006339A4" w:rsidP="006339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6339A4" w:rsidRPr="006339A4" w:rsidRDefault="006339A4" w:rsidP="006339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Приложение 4</w:t>
      </w:r>
    </w:p>
    <w:p w:rsidR="006339A4" w:rsidRPr="006339A4" w:rsidRDefault="006339A4" w:rsidP="006339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к решению </w:t>
      </w:r>
      <w:proofErr w:type="gramStart"/>
      <w:r w:rsidRPr="006339A4">
        <w:rPr>
          <w:rFonts w:ascii="Times New Roman" w:eastAsia="Calibri" w:hAnsi="Times New Roman" w:cs="Times New Roman"/>
          <w:sz w:val="24"/>
          <w:szCs w:val="24"/>
        </w:rPr>
        <w:t>Сельского</w:t>
      </w:r>
      <w:proofErr w:type="gram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339A4" w:rsidRPr="006339A4" w:rsidRDefault="006339A4" w:rsidP="006339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Собрания  депутатов </w:t>
      </w:r>
    </w:p>
    <w:p w:rsidR="006339A4" w:rsidRPr="006339A4" w:rsidRDefault="006339A4" w:rsidP="006339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от 00.00.202</w:t>
      </w:r>
      <w:r w:rsidR="0095146C">
        <w:rPr>
          <w:rFonts w:ascii="Times New Roman" w:eastAsia="Calibri" w:hAnsi="Times New Roman" w:cs="Times New Roman"/>
          <w:sz w:val="24"/>
          <w:szCs w:val="24"/>
        </w:rPr>
        <w:t>6</w:t>
      </w: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№_____</w:t>
      </w:r>
    </w:p>
    <w:p w:rsidR="006339A4" w:rsidRPr="006339A4" w:rsidRDefault="006339A4" w:rsidP="006339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ИСТОЧНИКИ</w:t>
      </w: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финансирования дефицита бюджета сельского поселения по кодам </w:t>
      </w:r>
      <w:proofErr w:type="gramStart"/>
      <w:r w:rsidRPr="006339A4">
        <w:rPr>
          <w:rFonts w:ascii="Times New Roman" w:eastAsia="Calibri" w:hAnsi="Times New Roman" w:cs="Times New Roman"/>
          <w:sz w:val="24"/>
          <w:szCs w:val="24"/>
        </w:rPr>
        <w:t>классификации источников финансирования дефицита бюджета</w:t>
      </w:r>
      <w:proofErr w:type="gram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за 2025 год</w:t>
      </w: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рублей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3682"/>
        <w:gridCol w:w="1247"/>
        <w:gridCol w:w="2836"/>
        <w:gridCol w:w="1730"/>
      </w:tblGrid>
      <w:tr w:rsidR="006339A4" w:rsidRPr="006339A4" w:rsidTr="006339A4">
        <w:trPr>
          <w:trHeight w:val="757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Исполнено на 01.01.2026</w:t>
            </w:r>
          </w:p>
        </w:tc>
      </w:tr>
      <w:tr w:rsidR="006339A4" w:rsidRPr="006339A4" w:rsidTr="006339A4">
        <w:trPr>
          <w:trHeight w:val="758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администратора источника финансирования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источника финансирования </w:t>
            </w:r>
          </w:p>
        </w:tc>
        <w:tc>
          <w:tcPr>
            <w:tcW w:w="173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9A4" w:rsidRPr="006339A4" w:rsidRDefault="006339A4" w:rsidP="006339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39A4" w:rsidRPr="006339A4" w:rsidTr="006339A4">
        <w:trPr>
          <w:trHeight w:val="297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339A4" w:rsidRPr="006339A4" w:rsidTr="006339A4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39A4" w:rsidRPr="006339A4" w:rsidRDefault="006339A4" w:rsidP="006339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Источники финансирования  дефицита бюджета сельского поселения - всего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339A4" w:rsidRPr="006339A4" w:rsidRDefault="006339A4" w:rsidP="006339A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339A4" w:rsidRPr="006339A4" w:rsidRDefault="006339A4" w:rsidP="006339A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339A4" w:rsidRPr="006339A4" w:rsidRDefault="006339A4" w:rsidP="006339A4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20 803,06</w:t>
            </w:r>
          </w:p>
        </w:tc>
      </w:tr>
      <w:tr w:rsidR="006339A4" w:rsidRPr="006339A4" w:rsidTr="006339A4">
        <w:trPr>
          <w:trHeight w:val="29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>Новоандреевского</w:t>
            </w:r>
            <w:proofErr w:type="spellEnd"/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>Бурлинского</w:t>
            </w:r>
            <w:proofErr w:type="spellEnd"/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>20 803,06</w:t>
            </w:r>
          </w:p>
        </w:tc>
      </w:tr>
      <w:tr w:rsidR="006339A4" w:rsidRPr="006339A4" w:rsidTr="006339A4">
        <w:trPr>
          <w:trHeight w:val="264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9A4" w:rsidRPr="006339A4" w:rsidRDefault="006339A4" w:rsidP="0063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01 05 02 01 10 0000 510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39A4" w:rsidRPr="006339A4" w:rsidRDefault="006339A4" w:rsidP="006339A4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>-1 961 259,54</w:t>
            </w:r>
          </w:p>
        </w:tc>
      </w:tr>
      <w:tr w:rsidR="006339A4" w:rsidRPr="006339A4" w:rsidTr="006339A4">
        <w:trPr>
          <w:trHeight w:val="634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9A4" w:rsidRPr="006339A4" w:rsidRDefault="006339A4" w:rsidP="0063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39A4" w:rsidRPr="006339A4" w:rsidRDefault="006339A4" w:rsidP="006339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01 05 02 01 10 0000 610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39A4" w:rsidRPr="006339A4" w:rsidRDefault="006339A4" w:rsidP="006339A4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A4">
              <w:rPr>
                <w:rFonts w:ascii="Times New Roman" w:eastAsia="Calibri" w:hAnsi="Times New Roman" w:cs="Times New Roman"/>
                <w:sz w:val="20"/>
                <w:szCs w:val="20"/>
              </w:rPr>
              <w:t>1 982 062,60</w:t>
            </w:r>
          </w:p>
        </w:tc>
      </w:tr>
    </w:tbl>
    <w:p w:rsidR="006339A4" w:rsidRPr="006339A4" w:rsidRDefault="006339A4" w:rsidP="006339A4">
      <w:pPr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Глава сельсовета                                                                        </w:t>
      </w:r>
      <w:r w:rsidR="0095146C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     И.В. Ильчук </w:t>
      </w:r>
    </w:p>
    <w:p w:rsidR="006339A4" w:rsidRPr="006339A4" w:rsidRDefault="006339A4" w:rsidP="006339A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rPr>
          <w:rFonts w:ascii="Times New Roman" w:eastAsia="Calibri" w:hAnsi="Times New Roman" w:cs="Times New Roman"/>
          <w:sz w:val="24"/>
        </w:rPr>
      </w:pPr>
    </w:p>
    <w:p w:rsidR="006339A4" w:rsidRPr="006339A4" w:rsidRDefault="006339A4" w:rsidP="006339A4">
      <w:pPr>
        <w:jc w:val="both"/>
        <w:rPr>
          <w:rFonts w:ascii="Times New Roman" w:eastAsia="Calibri" w:hAnsi="Times New Roman" w:cs="Times New Roman"/>
          <w:szCs w:val="26"/>
        </w:rPr>
      </w:pPr>
    </w:p>
    <w:p w:rsidR="006339A4" w:rsidRDefault="006339A4" w:rsidP="006339A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339A4" w:rsidRDefault="006339A4" w:rsidP="006339A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5146C" w:rsidRDefault="0095146C" w:rsidP="006339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33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Пояснительная записка </w:t>
      </w: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отчету об исполнении бюджета муниципального образования </w:t>
      </w:r>
      <w:proofErr w:type="spellStart"/>
      <w:r w:rsidRPr="00633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Новоандреевский</w:t>
      </w:r>
      <w:proofErr w:type="spellEnd"/>
      <w:r w:rsidRPr="00633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</w:t>
      </w:r>
      <w:proofErr w:type="spellStart"/>
      <w:r w:rsidRPr="00633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Бурлинского</w:t>
      </w:r>
      <w:proofErr w:type="spellEnd"/>
      <w:r w:rsidRPr="00633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Алтайского края</w:t>
      </w: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2025 год</w:t>
      </w:r>
      <w:r w:rsidRPr="00633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бюджетный процесс в муниципальном образовании </w:t>
      </w:r>
      <w:proofErr w:type="spellStart"/>
      <w:r w:rsidRPr="006339A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Новоандреевский</w:t>
      </w:r>
      <w:proofErr w:type="spellEnd"/>
      <w:r w:rsidRPr="0063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Pr="006339A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Бурлинского</w:t>
      </w:r>
      <w:proofErr w:type="spellEnd"/>
      <w:r w:rsidRPr="0063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Алтайского края осуществлялся на основании Бюджетного кодекса РФ, </w:t>
      </w:r>
      <w:r w:rsidRPr="003929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Pr="0063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Положения о бюджетном устройстве, бюджетном процессе и финансовом контроле в муниципальном образовании </w:t>
      </w:r>
      <w:proofErr w:type="spellStart"/>
      <w:r w:rsidRPr="006339A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Новоандреевский</w:t>
      </w:r>
      <w:proofErr w:type="spellEnd"/>
      <w:r w:rsidRPr="0063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Pr="006339A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Бурлинского</w:t>
      </w:r>
      <w:proofErr w:type="spellEnd"/>
      <w:r w:rsidRPr="0063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Алтайского края, утвержденного решением Сельского </w:t>
      </w: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Собрания депутатов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proofErr w:type="gram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 от 23 декабря 2025 № 17.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основой исполнения бюджета является </w:t>
      </w: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решение Сельского Собрания депутатов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 от 24.12.2024 № 14 «О бюджете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 на 2025 год».</w:t>
      </w: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>Доходы местного бюджета.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Исполнение по доходам сельского поселения за 2025 год составило 1948,5 тыс. рублей или 100,0 % утвержденного бюджета.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План по налоговым доходам выполнен на 100,0 %, в бюджет поступило платежей в размере 306,7 тыс. рублей.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Поступление неналоговых доходов в бюджет муниципального образования в 2025 году составило 475,4 тыс. рублей</w:t>
      </w:r>
      <w:proofErr w:type="gramStart"/>
      <w:r w:rsidRPr="006339A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339A4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6339A4">
        <w:rPr>
          <w:rFonts w:ascii="Times New Roman" w:eastAsia="Calibri" w:hAnsi="Times New Roman" w:cs="Times New Roman"/>
          <w:sz w:val="24"/>
          <w:szCs w:val="24"/>
        </w:rPr>
        <w:t>ли 100 % к плану.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Поступление безвозмездных поступлений в бюджет в 2025 году предусматривалось в сумме 1473,1 тыс. рублей. По итогам 2025 года безвозмездных поступлений от других бюджетов поступило 1473,1 тыс. рублей или 100 % плана.</w:t>
      </w:r>
    </w:p>
    <w:p w:rsidR="006339A4" w:rsidRPr="006339A4" w:rsidRDefault="006339A4" w:rsidP="00633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Анализ исполнения доходной части бюджета муниципального образования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Новоандреевский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 за 2025 год представлен в таблице.</w:t>
      </w:r>
    </w:p>
    <w:p w:rsidR="006339A4" w:rsidRPr="006339A4" w:rsidRDefault="006339A4" w:rsidP="006339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Таблица 2 (тыс. руб.)</w:t>
      </w:r>
    </w:p>
    <w:tbl>
      <w:tblPr>
        <w:tblStyle w:val="ab"/>
        <w:tblW w:w="9525" w:type="dxa"/>
        <w:tblLayout w:type="fixed"/>
        <w:tblLook w:val="04A0" w:firstRow="1" w:lastRow="0" w:firstColumn="1" w:lastColumn="0" w:noHBand="0" w:noVBand="1"/>
      </w:tblPr>
      <w:tblGrid>
        <w:gridCol w:w="2719"/>
        <w:gridCol w:w="973"/>
        <w:gridCol w:w="973"/>
        <w:gridCol w:w="972"/>
        <w:gridCol w:w="972"/>
        <w:gridCol w:w="972"/>
        <w:gridCol w:w="972"/>
        <w:gridCol w:w="972"/>
      </w:tblGrid>
      <w:tr w:rsidR="006339A4" w:rsidRPr="006339A4" w:rsidTr="006339A4">
        <w:trPr>
          <w:trHeight w:val="834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 xml:space="preserve">Наименование доходов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Исполнение за 2023 год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Исполнение за 2024 год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Первоначальный бюджет 2025 года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Уточнен</w:t>
            </w: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339A4">
              <w:rPr>
                <w:sz w:val="20"/>
                <w:szCs w:val="20"/>
              </w:rPr>
              <w:t>ный</w:t>
            </w:r>
            <w:proofErr w:type="spellEnd"/>
            <w:r w:rsidRPr="006339A4">
              <w:rPr>
                <w:sz w:val="20"/>
                <w:szCs w:val="20"/>
              </w:rPr>
              <w:t xml:space="preserve"> бюджет 2025 года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339A4">
              <w:rPr>
                <w:sz w:val="20"/>
                <w:szCs w:val="20"/>
              </w:rPr>
              <w:t>Исполне</w:t>
            </w:r>
            <w:proofErr w:type="spellEnd"/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но за 2025 год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339A4">
              <w:rPr>
                <w:sz w:val="20"/>
                <w:szCs w:val="20"/>
              </w:rPr>
              <w:t>Удель</w:t>
            </w:r>
            <w:proofErr w:type="spellEnd"/>
            <w:r w:rsidRPr="006339A4">
              <w:rPr>
                <w:sz w:val="20"/>
                <w:szCs w:val="20"/>
              </w:rPr>
              <w:t>-</w:t>
            </w: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339A4">
              <w:rPr>
                <w:sz w:val="20"/>
                <w:szCs w:val="20"/>
              </w:rPr>
              <w:t>ный</w:t>
            </w:r>
            <w:proofErr w:type="spellEnd"/>
            <w:r w:rsidRPr="006339A4">
              <w:rPr>
                <w:sz w:val="20"/>
                <w:szCs w:val="20"/>
              </w:rPr>
              <w:t xml:space="preserve"> вес</w:t>
            </w:r>
            <w:proofErr w:type="gramStart"/>
            <w:r w:rsidRPr="006339A4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 xml:space="preserve">% </w:t>
            </w: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 xml:space="preserve">к плану </w:t>
            </w:r>
          </w:p>
        </w:tc>
      </w:tr>
      <w:tr w:rsidR="006339A4" w:rsidRPr="006339A4" w:rsidTr="006339A4">
        <w:trPr>
          <w:trHeight w:val="45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9A4">
              <w:rPr>
                <w:bCs/>
                <w:sz w:val="20"/>
                <w:szCs w:val="20"/>
              </w:rPr>
              <w:t xml:space="preserve">Всего налоговые и неналоговые доходы: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660,5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578,7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457,0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475,4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475,4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24,4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100,0</w:t>
            </w:r>
          </w:p>
        </w:tc>
      </w:tr>
      <w:tr w:rsidR="006339A4" w:rsidRPr="006339A4" w:rsidTr="006339A4">
        <w:trPr>
          <w:trHeight w:val="226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Налоговые доходы: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343,7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287,3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306,7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306,7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15,7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100,0</w:t>
            </w:r>
          </w:p>
        </w:tc>
      </w:tr>
      <w:tr w:rsidR="006339A4" w:rsidRPr="006339A4" w:rsidTr="006339A4">
        <w:trPr>
          <w:trHeight w:val="468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20,6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20,9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22,0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24,9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24,9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100,0</w:t>
            </w:r>
          </w:p>
        </w:tc>
      </w:tr>
      <w:tr w:rsidR="006339A4" w:rsidRPr="006339A4" w:rsidTr="006339A4">
        <w:trPr>
          <w:trHeight w:val="45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15,4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46,6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25,0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48,8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48,8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2,5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100,0</w:t>
            </w:r>
          </w:p>
        </w:tc>
      </w:tr>
      <w:tr w:rsidR="006339A4" w:rsidRPr="006339A4" w:rsidTr="006339A4">
        <w:trPr>
          <w:trHeight w:val="226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307,7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219,8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376,0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233,0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233,0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100,0</w:t>
            </w:r>
          </w:p>
        </w:tc>
      </w:tr>
      <w:tr w:rsidR="006339A4" w:rsidRPr="006339A4" w:rsidTr="006339A4">
        <w:trPr>
          <w:trHeight w:val="45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339A4">
              <w:rPr>
                <w:i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i/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i/>
                <w:sz w:val="20"/>
                <w:szCs w:val="20"/>
              </w:rPr>
            </w:pPr>
            <w:r w:rsidRPr="006339A4">
              <w:rPr>
                <w:i/>
                <w:sz w:val="20"/>
                <w:szCs w:val="20"/>
              </w:rPr>
              <w:t>255,7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i/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i/>
                <w:sz w:val="20"/>
                <w:szCs w:val="20"/>
              </w:rPr>
            </w:pPr>
            <w:r w:rsidRPr="006339A4">
              <w:rPr>
                <w:i/>
                <w:sz w:val="20"/>
                <w:szCs w:val="20"/>
              </w:rPr>
              <w:t>176,5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339A4">
              <w:rPr>
                <w:i/>
                <w:sz w:val="20"/>
                <w:szCs w:val="20"/>
              </w:rPr>
              <w:t>320,,0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339A4">
              <w:rPr>
                <w:i/>
                <w:sz w:val="20"/>
                <w:szCs w:val="20"/>
              </w:rPr>
              <w:t>185,6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i/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i/>
                <w:sz w:val="20"/>
                <w:szCs w:val="20"/>
              </w:rPr>
            </w:pPr>
            <w:r w:rsidRPr="006339A4">
              <w:rPr>
                <w:i/>
                <w:sz w:val="20"/>
                <w:szCs w:val="20"/>
              </w:rPr>
              <w:t>185,6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jc w:val="center"/>
              <w:rPr>
                <w:i/>
                <w:sz w:val="20"/>
                <w:szCs w:val="20"/>
              </w:rPr>
            </w:pPr>
            <w:r w:rsidRPr="006339A4">
              <w:rPr>
                <w:i/>
                <w:sz w:val="20"/>
                <w:szCs w:val="20"/>
              </w:rPr>
              <w:t>9,5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i/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i/>
                <w:sz w:val="20"/>
                <w:szCs w:val="20"/>
              </w:rPr>
            </w:pPr>
            <w:r w:rsidRPr="006339A4">
              <w:rPr>
                <w:i/>
                <w:sz w:val="20"/>
                <w:szCs w:val="20"/>
              </w:rPr>
              <w:t>100,0</w:t>
            </w:r>
          </w:p>
        </w:tc>
      </w:tr>
      <w:tr w:rsidR="006339A4" w:rsidRPr="006339A4" w:rsidTr="006339A4">
        <w:trPr>
          <w:trHeight w:val="468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339A4">
              <w:rPr>
                <w:i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i/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i/>
                <w:sz w:val="20"/>
                <w:szCs w:val="20"/>
              </w:rPr>
            </w:pPr>
            <w:r w:rsidRPr="006339A4">
              <w:rPr>
                <w:i/>
                <w:sz w:val="20"/>
                <w:szCs w:val="20"/>
              </w:rPr>
              <w:t>52,0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i/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i/>
                <w:sz w:val="20"/>
                <w:szCs w:val="20"/>
              </w:rPr>
            </w:pPr>
            <w:r w:rsidRPr="006339A4">
              <w:rPr>
                <w:i/>
                <w:sz w:val="20"/>
                <w:szCs w:val="20"/>
              </w:rPr>
              <w:t>43,3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339A4">
              <w:rPr>
                <w:i/>
                <w:sz w:val="20"/>
                <w:szCs w:val="20"/>
              </w:rPr>
              <w:t>56,0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339A4">
              <w:rPr>
                <w:i/>
                <w:sz w:val="20"/>
                <w:szCs w:val="20"/>
              </w:rPr>
              <w:t>47,4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i/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i/>
                <w:sz w:val="20"/>
                <w:szCs w:val="20"/>
              </w:rPr>
            </w:pPr>
            <w:r w:rsidRPr="006339A4">
              <w:rPr>
                <w:i/>
                <w:sz w:val="20"/>
                <w:szCs w:val="20"/>
              </w:rPr>
              <w:t>47,4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jc w:val="center"/>
              <w:rPr>
                <w:i/>
                <w:sz w:val="20"/>
                <w:szCs w:val="20"/>
              </w:rPr>
            </w:pPr>
            <w:r w:rsidRPr="006339A4">
              <w:rPr>
                <w:i/>
                <w:sz w:val="20"/>
                <w:szCs w:val="20"/>
              </w:rPr>
              <w:t>2,4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i/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i/>
                <w:sz w:val="20"/>
                <w:szCs w:val="20"/>
              </w:rPr>
            </w:pPr>
            <w:r w:rsidRPr="006339A4">
              <w:rPr>
                <w:i/>
                <w:sz w:val="20"/>
                <w:szCs w:val="20"/>
              </w:rPr>
              <w:t>100,0</w:t>
            </w:r>
          </w:p>
        </w:tc>
      </w:tr>
      <w:tr w:rsidR="006339A4" w:rsidRPr="006339A4" w:rsidTr="006339A4">
        <w:trPr>
          <w:trHeight w:val="226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Неналоговые доходы: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316,8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291,4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114,0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168,7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168,7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8,7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100</w:t>
            </w:r>
          </w:p>
        </w:tc>
      </w:tr>
      <w:tr w:rsidR="006339A4" w:rsidRPr="006339A4" w:rsidTr="006339A4">
        <w:trPr>
          <w:trHeight w:val="68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Доходы от использования имущества находящегося в муниципальной собственности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137,5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137,5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34,0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43,2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43,2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2,2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100,0</w:t>
            </w:r>
          </w:p>
        </w:tc>
      </w:tr>
      <w:tr w:rsidR="006339A4" w:rsidRPr="006339A4" w:rsidTr="006339A4">
        <w:trPr>
          <w:trHeight w:val="695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lastRenderedPageBreak/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179,3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153,9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0</w:t>
            </w: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125,5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125,5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6,4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100,0</w:t>
            </w:r>
          </w:p>
        </w:tc>
      </w:tr>
      <w:tr w:rsidR="006339A4" w:rsidRPr="006339A4" w:rsidTr="006339A4">
        <w:trPr>
          <w:trHeight w:val="695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0</w:t>
            </w:r>
          </w:p>
        </w:tc>
      </w:tr>
      <w:tr w:rsidR="006339A4" w:rsidRPr="006339A4" w:rsidTr="006339A4">
        <w:trPr>
          <w:trHeight w:val="226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39A4">
              <w:rPr>
                <w:b/>
                <w:bCs/>
                <w:iCs/>
                <w:sz w:val="20"/>
                <w:szCs w:val="20"/>
              </w:rPr>
              <w:t xml:space="preserve">Безвозмездные поступления: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1 376,4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823,9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1083,2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1473,1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1473,1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75,6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100,0</w:t>
            </w:r>
          </w:p>
        </w:tc>
      </w:tr>
      <w:tr w:rsidR="006339A4" w:rsidRPr="006339A4" w:rsidTr="006339A4">
        <w:trPr>
          <w:trHeight w:val="45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Дотации бюджетам бюджетной системы РФ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18,7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18,7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19,9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19,9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19,9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100,0</w:t>
            </w:r>
          </w:p>
        </w:tc>
      </w:tr>
      <w:tr w:rsidR="006339A4" w:rsidRPr="006339A4" w:rsidTr="006339A4">
        <w:trPr>
          <w:trHeight w:val="45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Субвенции  бюджетам бюджетной системы РФ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40,4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40,4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47,4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47,4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47,4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2,4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100,0</w:t>
            </w:r>
          </w:p>
        </w:tc>
      </w:tr>
      <w:tr w:rsidR="006339A4" w:rsidRPr="006339A4" w:rsidTr="006339A4">
        <w:trPr>
          <w:trHeight w:val="468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764,8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764,8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1015,9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1300,8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1300,8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66,8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100,0</w:t>
            </w:r>
          </w:p>
        </w:tc>
      </w:tr>
      <w:tr w:rsidR="006339A4" w:rsidRPr="006339A4" w:rsidTr="006339A4">
        <w:trPr>
          <w:trHeight w:val="468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39A4"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105,0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105,0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5,4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</w:tc>
      </w:tr>
      <w:tr w:rsidR="006339A4" w:rsidRPr="006339A4" w:rsidTr="006339A4">
        <w:trPr>
          <w:trHeight w:val="21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2 036,9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1402,6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1540,2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1948,5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1948,5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100,0</w:t>
            </w:r>
          </w:p>
        </w:tc>
      </w:tr>
    </w:tbl>
    <w:p w:rsidR="006339A4" w:rsidRPr="006339A4" w:rsidRDefault="006339A4" w:rsidP="006339A4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>Налоговые доходы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Налоговые доходы за 2025 год при плане 306,7 тыс. рублей, поступили в сумме 306,7 тыс. рублей. По сравнению с 2024 годом поступление увеличилось на 19,4 тыс. рублей. Доля налоговых доходов в доходной части бюджета составила 15,7 %.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За 2025 год налоговые поступления в бюджет сельского поселения сформировались за счет: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- налога на доходы физических лиц, который при плане 24,9 тыс. рублей составил 24,9 тыс. рублей или 100 % налоговых доходов, по сравнению с 2024 годом поступление увеличилось на 4,0 тыс. рублей;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− н</w:t>
      </w:r>
      <w:r w:rsidRPr="006339A4">
        <w:rPr>
          <w:rFonts w:ascii="Times New Roman" w:eastAsia="Calibri" w:hAnsi="Times New Roman" w:cs="Times New Roman"/>
          <w:bCs/>
          <w:iCs/>
          <w:sz w:val="24"/>
          <w:szCs w:val="24"/>
        </w:rPr>
        <w:t>алог на имущество физических лиц при плане 48,8 тыс. рублей</w:t>
      </w: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поступил в сумме 48,8 тыс. рублей или 100 % налоговых доходов по сравнению с 2024 годом поступление увеличилось на 2,2 тыс. рублей;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− земельного н</w:t>
      </w:r>
      <w:r w:rsidRPr="006339A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алога с организаций, который при плане 185,6 тыс. рублей </w:t>
      </w: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исполнен в сумме 185,6 тыс. рублей и составил 100 % налоговых поступлений. 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− земельного н</w:t>
      </w:r>
      <w:r w:rsidRPr="006339A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алога с физических лиц, который при плане 47,4 тыс. рублей </w:t>
      </w: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исполнен в сумме 47,4 тыс. рублей и составил 100 % налоговых поступлений. 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В сравнении с 2024 годом поступление налоговых доходов увеличилось на 19,4 тыс. рублей.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В течение 2025 года основным источником доходов бюджета в общей сумме налоговых доходов являлся земельный налог, удельный вес которого составил 15,7% поступивших доходов. </w:t>
      </w:r>
    </w:p>
    <w:p w:rsidR="006339A4" w:rsidRPr="006339A4" w:rsidRDefault="006339A4" w:rsidP="00633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Неналоговые доходы</w:t>
      </w:r>
      <w:r w:rsidRPr="006339A4">
        <w:rPr>
          <w:rFonts w:ascii="Times New Roman" w:eastAsia="Calibri" w:hAnsi="Times New Roman" w:cs="Times New Roman"/>
          <w:b/>
          <w:bCs/>
        </w:rPr>
        <w:br/>
      </w:r>
    </w:p>
    <w:p w:rsidR="006339A4" w:rsidRPr="006339A4" w:rsidRDefault="006339A4" w:rsidP="00633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Первоначально бюджетом поселения плановые назначения по неналоговым доходам на 2025 год планировались в сумме 114,0 тыс. рублей. Уточненный бюджет составил 168,7 тыс. рублей. Фактически поступило 168,7 тыс. рублей. Источником неналоговых доходов являлись:</w:t>
      </w:r>
    </w:p>
    <w:p w:rsidR="006339A4" w:rsidRPr="006339A4" w:rsidRDefault="006339A4" w:rsidP="00633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- доходы от использования имущества, находящегося в муниципальной собственности 43,2 тыс. рублей или 100% доходов;</w:t>
      </w:r>
    </w:p>
    <w:p w:rsidR="006339A4" w:rsidRPr="006339A4" w:rsidRDefault="006339A4" w:rsidP="00633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- доходы от оказания платных услуг, и компенсация затрат государства 125,5 тыс. рублей или 100 % доходов;</w:t>
      </w:r>
    </w:p>
    <w:p w:rsidR="006339A4" w:rsidRPr="006339A4" w:rsidRDefault="006339A4" w:rsidP="00633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По сравнению с 2024 годом поступления неналоговых доходов уменьшилось на 122,7 тыс. рублей или 42,1%.</w:t>
      </w:r>
    </w:p>
    <w:p w:rsidR="006339A4" w:rsidRPr="006339A4" w:rsidRDefault="006339A4" w:rsidP="00633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Безвозмездные поступления</w:t>
      </w:r>
      <w:r w:rsidRPr="006339A4">
        <w:rPr>
          <w:rFonts w:ascii="Times New Roman" w:eastAsia="Calibri" w:hAnsi="Times New Roman" w:cs="Times New Roman"/>
          <w:b/>
          <w:bCs/>
        </w:rPr>
        <w:br/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Первоначально в бюджете сельского поселения планировались безвозмездные  поступления в сумме 1540,2 тыс. рублей, в течение года плановые назначения увеличились на 408,3 тыс. рублей. Фактически поступления в бюджет поселения составили 1948,5 тыс. рублей или 100% всех доходов, а именно: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- дотация на выравнивание  бюджетной обеспеченности поселений в сумме 19,9 тыс. рублей;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- субвенция на осуществление первичного воинского учета 47,4 тыс. рублей;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- иные межбюджетные трансферты – 1300,8 тыс. рублей, в том числе 197,8 тыс. рублей на осуществление части полномочий по решению вопросов местного значения в соответствии с заключенными соглашениями.</w:t>
      </w: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>Расходы местного бюджета</w:t>
      </w:r>
      <w:r w:rsidRPr="006339A4">
        <w:rPr>
          <w:rFonts w:ascii="Times New Roman" w:eastAsia="Calibri" w:hAnsi="Times New Roman" w:cs="Times New Roman"/>
          <w:b/>
          <w:bCs/>
        </w:rPr>
        <w:br/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Расходы за 2025 год при плане в сумме 2029,3 тыс. рублей исполнены в сумме 1969,3 тыс. рублей, что составляет 97,0% к уточненному плану.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Анализ исполнения расходов бюджета муниципального образования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Новоандреевский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 по разделам бюджетной классификации расходов представлен в таблице:</w:t>
      </w:r>
    </w:p>
    <w:p w:rsidR="006339A4" w:rsidRPr="006339A4" w:rsidRDefault="006339A4" w:rsidP="006339A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Таблица 3(тыс. руб.)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314"/>
        <w:gridCol w:w="521"/>
        <w:gridCol w:w="930"/>
        <w:gridCol w:w="930"/>
        <w:gridCol w:w="930"/>
        <w:gridCol w:w="930"/>
        <w:gridCol w:w="930"/>
        <w:gridCol w:w="930"/>
        <w:gridCol w:w="930"/>
      </w:tblGrid>
      <w:tr w:rsidR="006339A4" w:rsidRPr="006339A4" w:rsidTr="006339A4">
        <w:trPr>
          <w:trHeight w:val="85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18"/>
                <w:szCs w:val="18"/>
              </w:rPr>
            </w:pPr>
          </w:p>
          <w:p w:rsidR="006339A4" w:rsidRPr="006339A4" w:rsidRDefault="006339A4" w:rsidP="006339A4">
            <w:pPr>
              <w:jc w:val="center"/>
              <w:rPr>
                <w:sz w:val="18"/>
                <w:szCs w:val="18"/>
              </w:rPr>
            </w:pPr>
            <w:r w:rsidRPr="006339A4">
              <w:rPr>
                <w:sz w:val="18"/>
                <w:szCs w:val="18"/>
              </w:rPr>
              <w:t>Наименование отрасли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18"/>
                <w:szCs w:val="18"/>
              </w:rPr>
            </w:pPr>
            <w:r w:rsidRPr="006339A4">
              <w:rPr>
                <w:sz w:val="18"/>
                <w:szCs w:val="18"/>
              </w:rPr>
              <w:t>Раздел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339A4">
              <w:rPr>
                <w:sz w:val="18"/>
                <w:szCs w:val="18"/>
              </w:rPr>
              <w:t>Исполне</w:t>
            </w:r>
            <w:proofErr w:type="spellEnd"/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339A4">
              <w:rPr>
                <w:sz w:val="18"/>
                <w:szCs w:val="18"/>
              </w:rPr>
              <w:t>ние</w:t>
            </w:r>
            <w:proofErr w:type="spellEnd"/>
            <w:r w:rsidRPr="006339A4">
              <w:rPr>
                <w:sz w:val="18"/>
                <w:szCs w:val="18"/>
              </w:rPr>
              <w:t xml:space="preserve"> за</w:t>
            </w: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9A4">
              <w:rPr>
                <w:sz w:val="18"/>
                <w:szCs w:val="18"/>
              </w:rPr>
              <w:t xml:space="preserve"> 2023 год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339A4">
              <w:rPr>
                <w:sz w:val="18"/>
                <w:szCs w:val="18"/>
              </w:rPr>
              <w:t>Исполне</w:t>
            </w:r>
            <w:proofErr w:type="spellEnd"/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339A4">
              <w:rPr>
                <w:sz w:val="18"/>
                <w:szCs w:val="18"/>
              </w:rPr>
              <w:t>ние</w:t>
            </w:r>
            <w:proofErr w:type="spellEnd"/>
            <w:r w:rsidRPr="006339A4">
              <w:rPr>
                <w:sz w:val="18"/>
                <w:szCs w:val="18"/>
              </w:rPr>
              <w:t xml:space="preserve"> за 2024 год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9A4">
              <w:rPr>
                <w:sz w:val="18"/>
                <w:szCs w:val="18"/>
              </w:rPr>
              <w:t>Первоначальный бюджет 2025 года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9A4">
              <w:rPr>
                <w:sz w:val="18"/>
                <w:szCs w:val="18"/>
              </w:rPr>
              <w:t>Уточнен</w:t>
            </w: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339A4">
              <w:rPr>
                <w:sz w:val="18"/>
                <w:szCs w:val="18"/>
              </w:rPr>
              <w:t>ный</w:t>
            </w:r>
            <w:proofErr w:type="spellEnd"/>
            <w:r w:rsidRPr="006339A4">
              <w:rPr>
                <w:sz w:val="18"/>
                <w:szCs w:val="18"/>
              </w:rPr>
              <w:t xml:space="preserve"> бюджет 2025 года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339A4">
              <w:rPr>
                <w:sz w:val="18"/>
                <w:szCs w:val="18"/>
              </w:rPr>
              <w:t>Исполне</w:t>
            </w:r>
            <w:proofErr w:type="spellEnd"/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9A4">
              <w:rPr>
                <w:sz w:val="18"/>
                <w:szCs w:val="18"/>
              </w:rPr>
              <w:t xml:space="preserve">но за </w:t>
            </w: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9A4">
              <w:rPr>
                <w:sz w:val="18"/>
                <w:szCs w:val="18"/>
              </w:rPr>
              <w:t>2025 год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9A4">
              <w:rPr>
                <w:sz w:val="18"/>
                <w:szCs w:val="18"/>
              </w:rPr>
              <w:t xml:space="preserve">Удельный </w:t>
            </w: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9A4">
              <w:rPr>
                <w:sz w:val="18"/>
                <w:szCs w:val="18"/>
              </w:rPr>
              <w:t>Вес</w:t>
            </w: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9A4">
              <w:rPr>
                <w:sz w:val="18"/>
                <w:szCs w:val="18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9A4">
              <w:rPr>
                <w:sz w:val="18"/>
                <w:szCs w:val="18"/>
              </w:rPr>
              <w:t xml:space="preserve">% </w:t>
            </w:r>
          </w:p>
          <w:p w:rsidR="006339A4" w:rsidRPr="006339A4" w:rsidRDefault="006339A4" w:rsidP="006339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9A4">
              <w:rPr>
                <w:sz w:val="18"/>
                <w:szCs w:val="18"/>
              </w:rPr>
              <w:t xml:space="preserve">к плану </w:t>
            </w:r>
          </w:p>
        </w:tc>
      </w:tr>
      <w:tr w:rsidR="006339A4" w:rsidRPr="006339A4" w:rsidTr="006339A4">
        <w:trPr>
          <w:trHeight w:val="46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619,6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410,3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445,7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717,3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686,8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34,9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95,7</w:t>
            </w:r>
          </w:p>
        </w:tc>
      </w:tr>
      <w:tr w:rsidR="006339A4" w:rsidRPr="006339A4" w:rsidTr="006339A4">
        <w:trPr>
          <w:trHeight w:val="231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34,2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40,4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47,4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47,4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47,4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2,4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100</w:t>
            </w:r>
          </w:p>
        </w:tc>
      </w:tr>
      <w:tr w:rsidR="006339A4" w:rsidRPr="006339A4" w:rsidTr="006339A4">
        <w:trPr>
          <w:trHeight w:val="94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2,0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18,3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26,9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26,9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100</w:t>
            </w:r>
          </w:p>
        </w:tc>
      </w:tr>
      <w:tr w:rsidR="006339A4" w:rsidRPr="006339A4" w:rsidTr="006339A4">
        <w:trPr>
          <w:trHeight w:val="231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92,8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182,9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114,9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161,8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161,8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8,2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100</w:t>
            </w:r>
          </w:p>
        </w:tc>
      </w:tr>
      <w:tr w:rsidR="006339A4" w:rsidRPr="006339A4" w:rsidTr="006339A4">
        <w:trPr>
          <w:trHeight w:val="479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460,1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181,0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152,7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156,1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146,2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7,4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93,6</w:t>
            </w:r>
          </w:p>
        </w:tc>
      </w:tr>
      <w:tr w:rsidR="006339A4" w:rsidRPr="006339A4" w:rsidTr="006339A4">
        <w:trPr>
          <w:trHeight w:val="46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725,9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665,9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783,2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919,6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900,0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45,7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97,9</w:t>
            </w:r>
          </w:p>
        </w:tc>
      </w:tr>
      <w:tr w:rsidR="006339A4" w:rsidRPr="006339A4" w:rsidTr="006339A4">
        <w:trPr>
          <w:trHeight w:val="231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Итого расходы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1 932,6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1482,4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1562,2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2029,3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1969,3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  <w:sz w:val="20"/>
                <w:szCs w:val="20"/>
              </w:rPr>
            </w:pPr>
            <w:r w:rsidRPr="006339A4">
              <w:rPr>
                <w:b/>
                <w:sz w:val="20"/>
                <w:szCs w:val="20"/>
              </w:rPr>
              <w:t>97,0</w:t>
            </w:r>
          </w:p>
        </w:tc>
      </w:tr>
    </w:tbl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Исполнение по разделам бюджетной классификации в 2025 году сложилось</w:t>
      </w:r>
      <w:r w:rsidRPr="006339A4">
        <w:rPr>
          <w:rFonts w:ascii="Times New Roman" w:eastAsia="Calibri" w:hAnsi="Times New Roman" w:cs="Times New Roman"/>
        </w:rPr>
        <w:br/>
      </w:r>
      <w:r w:rsidRPr="006339A4">
        <w:rPr>
          <w:rFonts w:ascii="Times New Roman" w:eastAsia="Calibri" w:hAnsi="Times New Roman" w:cs="Times New Roman"/>
          <w:sz w:val="24"/>
          <w:szCs w:val="24"/>
        </w:rPr>
        <w:t>следующим образом: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раздел </w:t>
      </w: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01 «Общегосударственные вопросы»: </w:t>
      </w:r>
      <w:r w:rsidRPr="006339A4">
        <w:rPr>
          <w:rFonts w:ascii="Times New Roman" w:eastAsia="Calibri" w:hAnsi="Times New Roman" w:cs="Times New Roman"/>
          <w:bCs/>
          <w:sz w:val="24"/>
          <w:szCs w:val="24"/>
        </w:rPr>
        <w:t xml:space="preserve">первоначально бюджетом были предусмотрены </w:t>
      </w: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расходы в сумме 445,7 тыс. рублей, в течение года плановые назначения увеличились на 271,6 тыс. рублей. Фактически расходы за 2025 год составили 686,8 тыс. рублей или 95,7 % уточненного бюджета. </w:t>
      </w:r>
    </w:p>
    <w:p w:rsidR="006339A4" w:rsidRPr="006339A4" w:rsidRDefault="006339A4" w:rsidP="006339A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- подраздел 0102 «Функционирование высшего должностного лица субъекта Российской Федерации и муниципального образования» в сумме 686,1 тыс. рублей;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- подраздел 0113 «Другие общегосударственные вопросы» в сумме 0,7 тыс. рублей.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раздел </w:t>
      </w: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>02 «Национальная оборона»:</w:t>
      </w: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плановые назначения предусмотрены в сумме 47,4 тыс. рублей. Фактически расходы  на осуществление первичного воинского учета за 2025 год составили 47,4 тыс. рублей или 100 % уточненного бюджета. 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раздел </w:t>
      </w: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>03 «Национальная безопасность и правоохранительная деятельность»:</w:t>
      </w:r>
      <w:r w:rsidRPr="006339A4">
        <w:rPr>
          <w:rFonts w:ascii="Times New Roman" w:eastAsia="Calibri" w:hAnsi="Times New Roman" w:cs="Times New Roman"/>
          <w:b/>
          <w:bCs/>
        </w:rPr>
        <w:br/>
      </w: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плановые назначения первоначально планировались в сумме 18,3 тыс. рублей. В течение года плановые назначения составили 26,9 </w:t>
      </w:r>
      <w:proofErr w:type="spellStart"/>
      <w:proofErr w:type="gramStart"/>
      <w:r w:rsidRPr="006339A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spellEnd"/>
      <w:proofErr w:type="gram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рублей. Фактические расходы на  муниципальную программу «Обеспечение первичных мер пожарной безопасности на территории муниципального образования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Новоандреевский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 на 2025 год» составили 26,9 тыс.  рублей. 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раздел </w:t>
      </w: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04 «Национальная экономика»: </w:t>
      </w:r>
      <w:r w:rsidRPr="006339A4">
        <w:rPr>
          <w:rFonts w:ascii="Times New Roman" w:eastAsia="Calibri" w:hAnsi="Times New Roman" w:cs="Times New Roman"/>
          <w:bCs/>
          <w:sz w:val="24"/>
          <w:szCs w:val="24"/>
        </w:rPr>
        <w:t xml:space="preserve">первоначально бюджетом были предусмотрены </w:t>
      </w: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расходы в сумме 114,9 тыс. рублей, в течение года плановые назначения увеличились и составили 161,8 тыс. рублей. Фактически расходы за 2025 год по разделу 04 составили 161,8 тыс. рублей или 100 % уточненного бюджета. 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- подраздел 0408 «Транспорт» исполнен в сумме 2,0 тыс. рублей;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- подраздел 0409 «Дорожное хозяйство (дорожные фонды)» исполнен в сумме 159,8 тыс. рублей.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раздел </w:t>
      </w: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05 «Жилищно-коммунальное хозяйство»: </w:t>
      </w:r>
      <w:r w:rsidRPr="006339A4">
        <w:rPr>
          <w:rFonts w:ascii="Times New Roman" w:eastAsia="Calibri" w:hAnsi="Times New Roman" w:cs="Times New Roman"/>
          <w:bCs/>
          <w:sz w:val="24"/>
          <w:szCs w:val="24"/>
        </w:rPr>
        <w:t xml:space="preserve">первоначально бюджетом были предусмотрены </w:t>
      </w:r>
      <w:r w:rsidRPr="006339A4">
        <w:rPr>
          <w:rFonts w:ascii="Times New Roman" w:eastAsia="Calibri" w:hAnsi="Times New Roman" w:cs="Times New Roman"/>
          <w:sz w:val="24"/>
          <w:szCs w:val="24"/>
        </w:rPr>
        <w:t>расходы в сумме 152,7 тыс. рублей, в течение года плановые назначения увеличились и составили 156,1 тыс. рублей. Фактически расходы за 2025 год составили 146,2 тыс. рублей или 93,6% уточненного бюджета: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- подраздел 0502 «Коммунальное хозяйство» исполнен в сумме 131,2 тыс. рублей;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- подраздел 0503 «Благоустройство» исполнен в сумме 15,0 тыс. рублей.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раздел </w:t>
      </w: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08 «Культура и кинематография»: </w:t>
      </w:r>
      <w:r w:rsidRPr="006339A4">
        <w:rPr>
          <w:rFonts w:ascii="Times New Roman" w:eastAsia="Calibri" w:hAnsi="Times New Roman" w:cs="Times New Roman"/>
          <w:bCs/>
          <w:sz w:val="24"/>
          <w:szCs w:val="24"/>
        </w:rPr>
        <w:t xml:space="preserve">первоначально бюджетом были предусмотрены </w:t>
      </w:r>
      <w:r w:rsidRPr="006339A4">
        <w:rPr>
          <w:rFonts w:ascii="Times New Roman" w:eastAsia="Calibri" w:hAnsi="Times New Roman" w:cs="Times New Roman"/>
          <w:sz w:val="24"/>
          <w:szCs w:val="24"/>
        </w:rPr>
        <w:t>расходы в сумме 783,2 тыс. рублей, в течение года плановые назначения увеличились и составили 919,6 тыс. рублей. Фактические расходы по подразделу 0804 «Другие вопросы в области культуры, кинематографии» составили 900,0 тыс. рублей.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Анализ расходов бюджета муниципального образования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Новоандреевский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 за 2025 год показал, что наибольшую долю в общем объёме расходов бюджета сельского поселения составили расходы по разделам: «Общегосударственные расходы» - 34,9 %, «Культура» - 45,7 %.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Анализ исполнения местного бюджета </w:t>
      </w: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>по ведомственной структуре расходов бюджета</w:t>
      </w: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ведомственной структурой расходов бюджета сельского поселения на 2025 год, утвержденной решением Сельского Собрания депутатов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 от 24.12.2024 №14 «О бюджете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 на 2025 год» главным распорядителем бюджетных средств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сельсовета является Администрация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края.</w:t>
      </w:r>
      <w:proofErr w:type="gramEnd"/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План по расходам исполнен администрацией сельсовета в объеме 1969,3 тыс. рублей или  97,0 % от утвержденных бюджетных назначений.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Calibri" w:eastAsia="Calibri" w:hAnsi="Calibri" w:cs="Times New Roman"/>
          <w:b/>
          <w:bCs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Анализ исполнения местного бюджета </w:t>
      </w: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>по виду расходов бюджета</w:t>
      </w: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Структура расходов бюджета сельского поселения по виду расходов бюджета представлена в таблице.                                                                                                                             </w:t>
      </w:r>
    </w:p>
    <w:p w:rsidR="006339A4" w:rsidRPr="006339A4" w:rsidRDefault="006339A4" w:rsidP="006339A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Таблица 4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5224"/>
        <w:gridCol w:w="2182"/>
        <w:gridCol w:w="1915"/>
      </w:tblGrid>
      <w:tr w:rsidR="006339A4" w:rsidRPr="006339A4" w:rsidTr="006339A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</w:pPr>
            <w:r w:rsidRPr="006339A4">
              <w:t>Вид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</w:pPr>
            <w:r w:rsidRPr="006339A4">
              <w:t>Исполнено 2025г.</w:t>
            </w:r>
          </w:p>
          <w:p w:rsidR="006339A4" w:rsidRPr="006339A4" w:rsidRDefault="006339A4" w:rsidP="006339A4">
            <w:pPr>
              <w:jc w:val="center"/>
            </w:pPr>
            <w:r w:rsidRPr="006339A4">
              <w:t>тыс.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</w:pPr>
            <w:r w:rsidRPr="006339A4">
              <w:t>Удельный вес,</w:t>
            </w:r>
          </w:p>
          <w:p w:rsidR="006339A4" w:rsidRPr="006339A4" w:rsidRDefault="006339A4" w:rsidP="006339A4">
            <w:pPr>
              <w:jc w:val="center"/>
            </w:pPr>
            <w:r w:rsidRPr="006339A4">
              <w:t xml:space="preserve"> %</w:t>
            </w:r>
          </w:p>
        </w:tc>
      </w:tr>
      <w:tr w:rsidR="006339A4" w:rsidRPr="006339A4" w:rsidTr="006339A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rPr>
                <w:sz w:val="21"/>
                <w:szCs w:val="21"/>
              </w:rPr>
            </w:pPr>
            <w:r w:rsidRPr="006339A4">
              <w:rPr>
                <w:sz w:val="21"/>
                <w:szCs w:val="21"/>
              </w:rPr>
              <w:t>100 «Расходы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</w:pPr>
          </w:p>
          <w:p w:rsidR="006339A4" w:rsidRPr="006339A4" w:rsidRDefault="006339A4" w:rsidP="006339A4">
            <w:pPr>
              <w:jc w:val="center"/>
            </w:pPr>
          </w:p>
          <w:p w:rsidR="006339A4" w:rsidRPr="006339A4" w:rsidRDefault="006339A4" w:rsidP="006339A4">
            <w:pPr>
              <w:jc w:val="center"/>
            </w:pPr>
            <w:r w:rsidRPr="006339A4">
              <w:t>1387,3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</w:pPr>
          </w:p>
          <w:p w:rsidR="006339A4" w:rsidRPr="006339A4" w:rsidRDefault="006339A4" w:rsidP="006339A4">
            <w:pPr>
              <w:jc w:val="center"/>
            </w:pPr>
          </w:p>
          <w:p w:rsidR="006339A4" w:rsidRPr="006339A4" w:rsidRDefault="006339A4" w:rsidP="006339A4">
            <w:pPr>
              <w:jc w:val="center"/>
            </w:pPr>
            <w:r w:rsidRPr="006339A4">
              <w:t>70,5</w:t>
            </w:r>
          </w:p>
        </w:tc>
      </w:tr>
      <w:tr w:rsidR="006339A4" w:rsidRPr="006339A4" w:rsidTr="006339A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r w:rsidRPr="006339A4">
              <w:t>200 «Закупка товаров, работ и услуг для государственных (муниципальных нужд)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</w:pPr>
          </w:p>
          <w:p w:rsidR="006339A4" w:rsidRPr="006339A4" w:rsidRDefault="006339A4" w:rsidP="006339A4">
            <w:pPr>
              <w:jc w:val="center"/>
            </w:pPr>
            <w:r w:rsidRPr="006339A4">
              <w:t>556,0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</w:pPr>
          </w:p>
          <w:p w:rsidR="006339A4" w:rsidRPr="006339A4" w:rsidRDefault="006339A4" w:rsidP="006339A4">
            <w:pPr>
              <w:jc w:val="center"/>
            </w:pPr>
            <w:r w:rsidRPr="006339A4">
              <w:t>28,2</w:t>
            </w:r>
          </w:p>
        </w:tc>
      </w:tr>
      <w:tr w:rsidR="006339A4" w:rsidRPr="006339A4" w:rsidTr="006339A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r w:rsidRPr="006339A4">
              <w:t>500 «Межбюджетные трансферты»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</w:pPr>
            <w:r w:rsidRPr="006339A4">
              <w:t>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</w:pPr>
            <w:r w:rsidRPr="006339A4">
              <w:t>0,0</w:t>
            </w:r>
          </w:p>
        </w:tc>
      </w:tr>
      <w:tr w:rsidR="006339A4" w:rsidRPr="006339A4" w:rsidTr="006339A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r w:rsidRPr="006339A4">
              <w:t>800 «Иные бюджетные ассигнования»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</w:pPr>
            <w:r w:rsidRPr="006339A4">
              <w:t>25,3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</w:pPr>
            <w:r w:rsidRPr="006339A4">
              <w:t>1,3</w:t>
            </w:r>
          </w:p>
        </w:tc>
      </w:tr>
      <w:tr w:rsidR="006339A4" w:rsidRPr="006339A4" w:rsidTr="006339A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rPr>
                <w:b/>
              </w:rPr>
            </w:pPr>
            <w:r w:rsidRPr="006339A4">
              <w:rPr>
                <w:b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</w:rPr>
            </w:pPr>
            <w:r w:rsidRPr="006339A4">
              <w:rPr>
                <w:b/>
              </w:rPr>
              <w:t>1969,3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b/>
              </w:rPr>
            </w:pPr>
            <w:r w:rsidRPr="006339A4">
              <w:rPr>
                <w:b/>
              </w:rPr>
              <w:t>100</w:t>
            </w:r>
          </w:p>
        </w:tc>
      </w:tr>
    </w:tbl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Наибольшую долю в общем объёме расходов бюджета муниципального образования составили расходы по видам расходов: 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фондами- 70,5% и закупка товаров, работ и услуг для муниципальных нужд – 28,2%.</w:t>
      </w: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Анализ исполнения местного бюджета по </w:t>
      </w:r>
      <w:proofErr w:type="gramStart"/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>расходам</w:t>
      </w:r>
      <w:proofErr w:type="gramEnd"/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предусмотренным в форме межбюджетных трансфертов</w:t>
      </w: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Общий объем межбюджетных трансфертов, передаваемых из бюджета поселения бюджету муниципального образования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Бурлинский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 Алтайского края на осуществление части полномочий по решению вопросов местного значения в соответствии с заключенными соглашениями на 2025 год, запланированы в сумме 0,7 тыс. рублей, в том числе: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- передача Администрации муниципального образования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Бурлинский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 Алтайского края отдельных полномочий по составлению, исполнению и </w:t>
      </w:r>
      <w:proofErr w:type="gramStart"/>
      <w:r w:rsidRPr="006339A4">
        <w:rPr>
          <w:rFonts w:ascii="Times New Roman" w:eastAsia="Calibri" w:hAnsi="Times New Roman" w:cs="Times New Roman"/>
          <w:sz w:val="24"/>
          <w:szCs w:val="24"/>
        </w:rPr>
        <w:t>контролю за</w:t>
      </w:r>
      <w:proofErr w:type="gram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исполнением бюджета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сельсовета – 0,6 тыс. рублей;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- передача контрольно-ревизионной комиссии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</w:t>
      </w:r>
      <w:r w:rsidRPr="006339A4">
        <w:rPr>
          <w:rFonts w:ascii="Times New Roman" w:eastAsia="Calibri" w:hAnsi="Times New Roman" w:cs="Times New Roman"/>
        </w:rPr>
        <w:br/>
      </w:r>
      <w:r w:rsidRPr="006339A4">
        <w:rPr>
          <w:rFonts w:ascii="Times New Roman" w:eastAsia="Calibri" w:hAnsi="Times New Roman" w:cs="Times New Roman"/>
          <w:sz w:val="24"/>
          <w:szCs w:val="24"/>
        </w:rPr>
        <w:t>полномочий контрольно-счетного органа сельского поселения по осуществлению</w:t>
      </w:r>
      <w:r w:rsidRPr="006339A4">
        <w:rPr>
          <w:rFonts w:ascii="Times New Roman" w:eastAsia="Calibri" w:hAnsi="Times New Roman" w:cs="Times New Roman"/>
        </w:rPr>
        <w:br/>
      </w:r>
      <w:r w:rsidRPr="006339A4">
        <w:rPr>
          <w:rFonts w:ascii="Times New Roman" w:eastAsia="Calibri" w:hAnsi="Times New Roman" w:cs="Times New Roman"/>
          <w:sz w:val="24"/>
          <w:szCs w:val="24"/>
        </w:rPr>
        <w:t>внешнего муниципального финансового контроля – 0,1 тыс. рублей;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Исполнение межбюджетных трансфертов в части переданных муниципальному</w:t>
      </w:r>
      <w:r w:rsidRPr="006339A4">
        <w:rPr>
          <w:rFonts w:ascii="Times New Roman" w:eastAsia="Calibri" w:hAnsi="Times New Roman" w:cs="Times New Roman"/>
        </w:rPr>
        <w:br/>
      </w:r>
      <w:r w:rsidRPr="006339A4">
        <w:rPr>
          <w:rFonts w:ascii="Times New Roman" w:eastAsia="Calibri" w:hAnsi="Times New Roman" w:cs="Times New Roman"/>
          <w:sz w:val="24"/>
          <w:szCs w:val="24"/>
        </w:rPr>
        <w:t>району полномочий составило 0,7 тыс. рублей.</w:t>
      </w: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>Анализ исполнения местного бюджета по муниципальным программам (подпрограммам).</w:t>
      </w: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Решением Сельского Собрания депутатов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 от 24.12.2024 №14 «О бюджете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 на 2025 год» планировались расходы по муниципальной программе «Обеспечение первичных мер пожарной безопасности на территории муниципального образования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Новоандреевский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 на 2025 год» в сумме 26,9 тыс. рублей.</w:t>
      </w:r>
      <w:proofErr w:type="gramEnd"/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Муниципальная программа </w:t>
      </w:r>
      <w:r w:rsidRPr="0063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в целях защиты населения и объектов, расположенных на территории сельского поселения  от пожаров и их последствий путем </w:t>
      </w:r>
      <w:r w:rsidRPr="006339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принятия комплексных мер по повышению уровня пожарной безопасности на территории сельского поселения</w:t>
      </w:r>
      <w:r w:rsidRPr="006339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Фактические расходы на  муниципальную программу «Обеспечение первичных мер пожарной безопасности на территории муниципального образования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Новоандреевский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 на 2025 год» составили 26,9 тыс. рублей. 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>Анализ исполнения местного бюджета по расходам, осуществляемым за счет средств резервных фондов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Первоначально решением Сельского Собрания депутатов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 от 24.12.2024 № 14 «О бюджете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 на 2025 год» расходы по разделу (подразделу) 0111 «Резервные фонды» предусмотрены в объеме 2,0 тыс. рублей. В течение года плановые назначения корректировались и составили 0 рублей.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Отчетом об исполнении бюджета (ф. 0503117) расходы за счет средств резервного фонда не производились</w:t>
      </w:r>
      <w:r w:rsidRPr="006339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Анализ исполнения местного бюджета </w:t>
      </w: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39A4">
        <w:rPr>
          <w:rFonts w:ascii="Times New Roman" w:eastAsia="Calibri" w:hAnsi="Times New Roman" w:cs="Times New Roman"/>
          <w:b/>
          <w:bCs/>
          <w:sz w:val="24"/>
          <w:szCs w:val="24"/>
        </w:rPr>
        <w:t>по контрактуемым расходам</w:t>
      </w: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В 2025 году объем средств по расходам, предусмотренным на финансирование контрактов на закупку товаров, работ и услуг для муниципальных нужд (далее – контрактуемые расходы), предусмотрены бюджетом в сумме 569,7 тыс. рублей, принято на учет бюджетных обязательств в сумме 569,7 тыс. рублей.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Распределение средств по видам контрактуемых расходов бюджета сельского поселения в 2025 году представлено в таблице. </w:t>
      </w:r>
    </w:p>
    <w:p w:rsidR="006339A4" w:rsidRPr="006339A4" w:rsidRDefault="006339A4" w:rsidP="006339A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Таблица 5</w:t>
      </w:r>
    </w:p>
    <w:tbl>
      <w:tblPr>
        <w:tblStyle w:val="ab"/>
        <w:tblW w:w="9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4"/>
        <w:gridCol w:w="2873"/>
        <w:gridCol w:w="1305"/>
        <w:gridCol w:w="1566"/>
        <w:gridCol w:w="1435"/>
        <w:gridCol w:w="1437"/>
      </w:tblGrid>
      <w:tr w:rsidR="006339A4" w:rsidRPr="006339A4" w:rsidTr="006339A4">
        <w:trPr>
          <w:trHeight w:val="47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Код вида расходов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Лимиты бюджетных обязательств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Сумма принятых на учет бюджетных обязательств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Исполнено от суммы принятых обязательств</w:t>
            </w:r>
          </w:p>
        </w:tc>
      </w:tr>
      <w:tr w:rsidR="006339A4" w:rsidRPr="006339A4" w:rsidTr="006339A4">
        <w:trPr>
          <w:trHeight w:val="494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rPr>
                <w:sz w:val="20"/>
                <w:szCs w:val="20"/>
              </w:rPr>
            </w:pP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A4" w:rsidRPr="006339A4" w:rsidRDefault="006339A4" w:rsidP="006339A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Сумма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%</w:t>
            </w:r>
          </w:p>
        </w:tc>
      </w:tr>
      <w:tr w:rsidR="006339A4" w:rsidRPr="006339A4" w:rsidTr="006339A4">
        <w:trPr>
          <w:trHeight w:val="47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both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244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446,6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446,6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445,6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</w:p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99,8</w:t>
            </w:r>
          </w:p>
        </w:tc>
      </w:tr>
      <w:tr w:rsidR="006339A4" w:rsidRPr="006339A4" w:rsidTr="006339A4">
        <w:trPr>
          <w:trHeight w:val="23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both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247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both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123,1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123,1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110,3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89,6</w:t>
            </w:r>
          </w:p>
        </w:tc>
      </w:tr>
      <w:tr w:rsidR="006339A4" w:rsidRPr="006339A4" w:rsidTr="006339A4">
        <w:trPr>
          <w:trHeight w:val="23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A4" w:rsidRPr="006339A4" w:rsidRDefault="006339A4" w:rsidP="00633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both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ИТОГО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569,7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569,7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555,9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A4" w:rsidRPr="006339A4" w:rsidRDefault="006339A4" w:rsidP="006339A4">
            <w:pPr>
              <w:jc w:val="center"/>
              <w:rPr>
                <w:sz w:val="20"/>
                <w:szCs w:val="20"/>
              </w:rPr>
            </w:pPr>
            <w:r w:rsidRPr="006339A4">
              <w:rPr>
                <w:sz w:val="20"/>
                <w:szCs w:val="20"/>
              </w:rPr>
              <w:t>97,6</w:t>
            </w:r>
          </w:p>
        </w:tc>
      </w:tr>
    </w:tbl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По состоянию на 01.01.2026 неисполненных принятых бюджетных обязательств по контрактуемым видам расходов Сельсовета 12,8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6339A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6339A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.. 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Общий объем контрактуемых расходов составляет 28,2 % от всех расходов бюджета поселения.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39A4" w:rsidRPr="006339A4" w:rsidRDefault="006339A4" w:rsidP="006339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339A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Результат исполнения бюджета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 от 14.11.2024 № 45 «Об утверждении Перечней главных администраторов доходов бюджета, главных администраторов источников финансирования дефицита бюджета и Порядка внесения изменений в Перечень главных администраторов доходов бюджета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края» Администрация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</w:t>
      </w:r>
      <w:r w:rsidRPr="006339A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Алтайского края </w:t>
      </w:r>
      <w:r w:rsidRPr="00633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определена главным администратором источников финансирования дефицита бюджета сельского поселения.</w:t>
      </w:r>
      <w:proofErr w:type="gramEnd"/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9A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ешением Сельского Собрания депутатов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 от 24.12.2024 № 14 «О бюджете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Новоандреевского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Бурлинского</w:t>
      </w:r>
      <w:proofErr w:type="spellEnd"/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 на 2025 год»</w:t>
      </w:r>
      <w:r w:rsidRPr="0063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изменениями) утвержден дефицит бюджета сельского поселения в сумме 22,0 тыс. рублей. 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исполнения бюджета сельского поселения, согласно отчету об исполнении бюджета (ф. 0503117), по итогам 2025 года сложился дефицит в сумме 80,8 тыс. рублей. </w:t>
      </w:r>
    </w:p>
    <w:p w:rsidR="006339A4" w:rsidRPr="006339A4" w:rsidRDefault="006339A4" w:rsidP="006339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339A4" w:rsidRPr="000635EE" w:rsidRDefault="006339A4" w:rsidP="006339A4">
      <w:pPr>
        <w:jc w:val="both"/>
        <w:rPr>
          <w:rFonts w:ascii="Times New Roman" w:hAnsi="Times New Roman" w:cs="Times New Roman"/>
          <w:sz w:val="26"/>
          <w:szCs w:val="26"/>
        </w:rPr>
      </w:pPr>
      <w:r w:rsidRPr="006339A4">
        <w:rPr>
          <w:rFonts w:ascii="Times New Roman" w:eastAsia="Calibri" w:hAnsi="Times New Roman" w:cs="Times New Roman"/>
          <w:sz w:val="24"/>
          <w:szCs w:val="24"/>
        </w:rPr>
        <w:t xml:space="preserve">Глава сельсовета                                                                                       </w:t>
      </w:r>
      <w:proofErr w:type="spellStart"/>
      <w:r w:rsidRPr="006339A4">
        <w:rPr>
          <w:rFonts w:ascii="Times New Roman" w:eastAsia="Calibri" w:hAnsi="Times New Roman" w:cs="Times New Roman"/>
          <w:sz w:val="24"/>
          <w:szCs w:val="24"/>
        </w:rPr>
        <w:t>И.В.Ильчук</w:t>
      </w:r>
      <w:proofErr w:type="spellEnd"/>
    </w:p>
    <w:p w:rsidR="00A91F81" w:rsidRDefault="00A91F81"/>
    <w:sectPr w:rsidR="00A9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A2"/>
    <w:rsid w:val="00392916"/>
    <w:rsid w:val="006339A4"/>
    <w:rsid w:val="007C0DA2"/>
    <w:rsid w:val="0095146C"/>
    <w:rsid w:val="00A91F81"/>
    <w:rsid w:val="00D5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A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9A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9A4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 w:themeColor="accent1" w:themeShade="7F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339A4"/>
    <w:rPr>
      <w:rFonts w:ascii="Cambria" w:eastAsia="Times New Roman" w:hAnsi="Cambria" w:cs="Times New Roman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339A4"/>
    <w:rPr>
      <w:rFonts w:ascii="Cambria" w:eastAsia="Times New Roman" w:hAnsi="Cambria" w:cs="Times New Roman"/>
      <w:color w:val="243F60" w:themeColor="accent1" w:themeShade="7F"/>
      <w:sz w:val="26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339A4"/>
  </w:style>
  <w:style w:type="paragraph" w:styleId="a3">
    <w:name w:val="List"/>
    <w:basedOn w:val="a"/>
    <w:semiHidden/>
    <w:unhideWhenUsed/>
    <w:rsid w:val="006339A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6339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6339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aliases w:val="Основной текст1 Знак,Знак Знак,Знак1 Знак Знак"/>
    <w:basedOn w:val="a0"/>
    <w:link w:val="a7"/>
    <w:semiHidden/>
    <w:locked/>
    <w:rsid w:val="006339A4"/>
    <w:rPr>
      <w:sz w:val="28"/>
      <w:szCs w:val="24"/>
    </w:rPr>
  </w:style>
  <w:style w:type="paragraph" w:styleId="a7">
    <w:name w:val="Body Text"/>
    <w:aliases w:val="Основной текст1,Знак,Знак1 Знак"/>
    <w:basedOn w:val="a"/>
    <w:link w:val="a6"/>
    <w:semiHidden/>
    <w:unhideWhenUsed/>
    <w:rsid w:val="006339A4"/>
    <w:pPr>
      <w:spacing w:after="0" w:line="240" w:lineRule="auto"/>
    </w:pPr>
    <w:rPr>
      <w:sz w:val="28"/>
      <w:szCs w:val="24"/>
    </w:rPr>
  </w:style>
  <w:style w:type="character" w:customStyle="1" w:styleId="10">
    <w:name w:val="Основной текст Знак1"/>
    <w:aliases w:val="Основной текст1 Знак1,Знак Знак1,Знак1 Знак Знак1"/>
    <w:basedOn w:val="a0"/>
    <w:uiPriority w:val="99"/>
    <w:semiHidden/>
    <w:rsid w:val="006339A4"/>
  </w:style>
  <w:style w:type="paragraph" w:styleId="a8">
    <w:name w:val="Balloon Text"/>
    <w:basedOn w:val="a"/>
    <w:link w:val="a9"/>
    <w:uiPriority w:val="99"/>
    <w:semiHidden/>
    <w:unhideWhenUsed/>
    <w:rsid w:val="006339A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39A4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6339A4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6339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A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9A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9A4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 w:themeColor="accent1" w:themeShade="7F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339A4"/>
    <w:rPr>
      <w:rFonts w:ascii="Cambria" w:eastAsia="Times New Roman" w:hAnsi="Cambria" w:cs="Times New Roman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339A4"/>
    <w:rPr>
      <w:rFonts w:ascii="Cambria" w:eastAsia="Times New Roman" w:hAnsi="Cambria" w:cs="Times New Roman"/>
      <w:color w:val="243F60" w:themeColor="accent1" w:themeShade="7F"/>
      <w:sz w:val="26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339A4"/>
  </w:style>
  <w:style w:type="paragraph" w:styleId="a3">
    <w:name w:val="List"/>
    <w:basedOn w:val="a"/>
    <w:semiHidden/>
    <w:unhideWhenUsed/>
    <w:rsid w:val="006339A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6339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6339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aliases w:val="Основной текст1 Знак,Знак Знак,Знак1 Знак Знак"/>
    <w:basedOn w:val="a0"/>
    <w:link w:val="a7"/>
    <w:semiHidden/>
    <w:locked/>
    <w:rsid w:val="006339A4"/>
    <w:rPr>
      <w:sz w:val="28"/>
      <w:szCs w:val="24"/>
    </w:rPr>
  </w:style>
  <w:style w:type="paragraph" w:styleId="a7">
    <w:name w:val="Body Text"/>
    <w:aliases w:val="Основной текст1,Знак,Знак1 Знак"/>
    <w:basedOn w:val="a"/>
    <w:link w:val="a6"/>
    <w:semiHidden/>
    <w:unhideWhenUsed/>
    <w:rsid w:val="006339A4"/>
    <w:pPr>
      <w:spacing w:after="0" w:line="240" w:lineRule="auto"/>
    </w:pPr>
    <w:rPr>
      <w:sz w:val="28"/>
      <w:szCs w:val="24"/>
    </w:rPr>
  </w:style>
  <w:style w:type="character" w:customStyle="1" w:styleId="10">
    <w:name w:val="Основной текст Знак1"/>
    <w:aliases w:val="Основной текст1 Знак1,Знак Знак1,Знак1 Знак Знак1"/>
    <w:basedOn w:val="a0"/>
    <w:uiPriority w:val="99"/>
    <w:semiHidden/>
    <w:rsid w:val="006339A4"/>
  </w:style>
  <w:style w:type="paragraph" w:styleId="a8">
    <w:name w:val="Balloon Text"/>
    <w:basedOn w:val="a"/>
    <w:link w:val="a9"/>
    <w:uiPriority w:val="99"/>
    <w:semiHidden/>
    <w:unhideWhenUsed/>
    <w:rsid w:val="006339A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39A4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6339A4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6339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7013</Words>
  <Characters>39978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2026-03-11T02:46:00Z</dcterms:created>
  <dcterms:modified xsi:type="dcterms:W3CDTF">2026-04-10T05:01:00Z</dcterms:modified>
</cp:coreProperties>
</file>