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AE" w:rsidRPr="000A34BD" w:rsidRDefault="000A34BD" w:rsidP="00336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  <w:r w:rsidR="003368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536169">
        <w:rPr>
          <w:rFonts w:ascii="Times New Roman" w:hAnsi="Times New Roman" w:cs="Times New Roman"/>
          <w:b/>
          <w:bCs/>
          <w:sz w:val="24"/>
          <w:szCs w:val="24"/>
        </w:rPr>
        <w:t>РОЖК</w:t>
      </w:r>
      <w:r w:rsidRPr="000A34BD">
        <w:rPr>
          <w:rFonts w:ascii="Times New Roman" w:hAnsi="Times New Roman" w:cs="Times New Roman"/>
          <w:b/>
          <w:bCs/>
          <w:sz w:val="24"/>
          <w:szCs w:val="24"/>
        </w:rPr>
        <w:t>ОВСКОГО СЕЛЬСОВЕТА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0A34BD" w:rsidRDefault="000A34BD" w:rsidP="000A34BD">
      <w:pPr>
        <w:jc w:val="center"/>
      </w:pPr>
    </w:p>
    <w:p w:rsidR="00F72B05" w:rsidRDefault="00F72B05" w:rsidP="000A34BD">
      <w:pPr>
        <w:jc w:val="center"/>
      </w:pPr>
    </w:p>
    <w:p w:rsidR="000A34BD" w:rsidRDefault="000A34BD" w:rsidP="000A34BD">
      <w:pPr>
        <w:pStyle w:val="1"/>
        <w:rPr>
          <w:b/>
          <w:bCs/>
          <w:szCs w:val="28"/>
        </w:rPr>
      </w:pPr>
      <w:proofErr w:type="gramStart"/>
      <w:r w:rsidRPr="00825571">
        <w:rPr>
          <w:b/>
          <w:bCs/>
          <w:szCs w:val="28"/>
        </w:rPr>
        <w:t>П</w:t>
      </w:r>
      <w:proofErr w:type="gramEnd"/>
      <w:r w:rsidRPr="00825571">
        <w:rPr>
          <w:b/>
          <w:bCs/>
          <w:szCs w:val="28"/>
        </w:rPr>
        <w:t xml:space="preserve"> О С Т А Н О В Л Е Н И Е</w:t>
      </w:r>
    </w:p>
    <w:p w:rsidR="00825571" w:rsidRPr="00825571" w:rsidRDefault="00825571" w:rsidP="00825571"/>
    <w:p w:rsidR="00825571" w:rsidRDefault="00825571" w:rsidP="000A34BD">
      <w:pPr>
        <w:rPr>
          <w:rFonts w:ascii="Times New Roman" w:hAnsi="Times New Roman" w:cs="Times New Roman"/>
          <w:sz w:val="26"/>
          <w:szCs w:val="26"/>
        </w:rPr>
      </w:pPr>
    </w:p>
    <w:p w:rsidR="000A34BD" w:rsidRPr="000A34BD" w:rsidRDefault="003368AE" w:rsidP="000A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5BDB">
        <w:rPr>
          <w:rFonts w:ascii="Times New Roman" w:hAnsi="Times New Roman" w:cs="Times New Roman"/>
          <w:sz w:val="26"/>
          <w:szCs w:val="26"/>
        </w:rPr>
        <w:t xml:space="preserve">  </w:t>
      </w:r>
      <w:r w:rsidR="00F72B05">
        <w:rPr>
          <w:rFonts w:ascii="Times New Roman" w:hAnsi="Times New Roman" w:cs="Times New Roman"/>
          <w:sz w:val="26"/>
          <w:szCs w:val="26"/>
        </w:rPr>
        <w:t xml:space="preserve">05 </w:t>
      </w:r>
      <w:r w:rsidR="00825571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0A34BD" w:rsidRPr="000A34BD">
        <w:rPr>
          <w:rFonts w:ascii="Times New Roman" w:hAnsi="Times New Roman" w:cs="Times New Roman"/>
          <w:sz w:val="26"/>
          <w:szCs w:val="26"/>
        </w:rPr>
        <w:t>202</w:t>
      </w:r>
      <w:r w:rsidR="006D5BDB">
        <w:rPr>
          <w:rFonts w:ascii="Times New Roman" w:hAnsi="Times New Roman" w:cs="Times New Roman"/>
          <w:sz w:val="26"/>
          <w:szCs w:val="26"/>
        </w:rPr>
        <w:t>5</w:t>
      </w:r>
      <w:r w:rsidR="00825571">
        <w:rPr>
          <w:rFonts w:ascii="Times New Roman" w:hAnsi="Times New Roman" w:cs="Times New Roman"/>
          <w:sz w:val="26"/>
          <w:szCs w:val="26"/>
        </w:rPr>
        <w:t xml:space="preserve"> г.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560C52">
        <w:rPr>
          <w:rFonts w:ascii="Times New Roman" w:hAnsi="Times New Roman" w:cs="Times New Roman"/>
          <w:sz w:val="26"/>
          <w:szCs w:val="26"/>
        </w:rPr>
        <w:t xml:space="preserve">  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№</w:t>
      </w:r>
      <w:r w:rsidR="00F72B05">
        <w:rPr>
          <w:rFonts w:ascii="Times New Roman" w:hAnsi="Times New Roman" w:cs="Times New Roman"/>
          <w:sz w:val="26"/>
          <w:szCs w:val="26"/>
        </w:rPr>
        <w:t xml:space="preserve"> 38</w:t>
      </w:r>
    </w:p>
    <w:p w:rsidR="000A34BD" w:rsidRPr="009C60FC" w:rsidRDefault="000A34BD" w:rsidP="000A34BD">
      <w:pPr>
        <w:jc w:val="center"/>
        <w:rPr>
          <w:rFonts w:ascii="Times New Roman" w:hAnsi="Times New Roman" w:cs="Times New Roman"/>
        </w:rPr>
      </w:pPr>
      <w:r w:rsidRPr="009C60FC">
        <w:rPr>
          <w:rFonts w:ascii="Times New Roman" w:hAnsi="Times New Roman" w:cs="Times New Roman"/>
        </w:rPr>
        <w:t>с</w:t>
      </w:r>
      <w:proofErr w:type="gramStart"/>
      <w:r w:rsidRPr="009C60FC">
        <w:rPr>
          <w:rFonts w:ascii="Times New Roman" w:hAnsi="Times New Roman" w:cs="Times New Roman"/>
        </w:rPr>
        <w:t>.</w:t>
      </w:r>
      <w:r w:rsidR="00536169">
        <w:rPr>
          <w:rFonts w:ascii="Times New Roman" w:hAnsi="Times New Roman" w:cs="Times New Roman"/>
        </w:rPr>
        <w:t>Л</w:t>
      </w:r>
      <w:proofErr w:type="gramEnd"/>
      <w:r w:rsidR="00536169">
        <w:rPr>
          <w:rFonts w:ascii="Times New Roman" w:hAnsi="Times New Roman" w:cs="Times New Roman"/>
        </w:rPr>
        <w:t>есное</w:t>
      </w:r>
    </w:p>
    <w:p w:rsidR="000A34BD" w:rsidRPr="00825571" w:rsidRDefault="000A34BD" w:rsidP="00560C52">
      <w:pPr>
        <w:spacing w:after="0"/>
        <w:ind w:right="46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благоустройства на  территории муниципального образования </w:t>
      </w:r>
      <w:r w:rsidR="008D6EC1"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сельское поселение</w:t>
      </w:r>
      <w:r w:rsidR="009C60FC"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6169"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Рожко</w:t>
      </w:r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вский сельсовет</w:t>
      </w:r>
      <w:r w:rsidR="00536169"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36169"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</w:t>
      </w:r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рлинского</w:t>
      </w:r>
      <w:proofErr w:type="spellEnd"/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района Алтайского кра</w:t>
      </w:r>
      <w:r w:rsidR="00560C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на 202</w:t>
      </w:r>
      <w:r w:rsidR="006D5B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825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p w:rsidR="00560C52" w:rsidRDefault="00560C52" w:rsidP="00560C5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0C52" w:rsidRDefault="00560C52" w:rsidP="00560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 В соответствии со статьей 44 Федерального закона от 31.07.2020 № 248 – ФЗ </w:t>
      </w:r>
      <w:r w:rsidR="000A34BD" w:rsidRPr="000A34BD">
        <w:rPr>
          <w:rFonts w:ascii="Times New Roman" w:hAnsi="Times New Roman" w:cs="Times New Roman"/>
          <w:sz w:val="26"/>
          <w:szCs w:val="26"/>
        </w:rPr>
        <w:t>«О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государственном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(надзоре)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муниципальном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</w:t>
      </w:r>
      <w:r w:rsidR="006008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0A34BD" w:rsidRPr="000A34BD">
        <w:rPr>
          <w:rFonts w:ascii="Times New Roman" w:hAnsi="Times New Roman" w:cs="Times New Roman"/>
          <w:sz w:val="26"/>
          <w:szCs w:val="26"/>
        </w:rPr>
        <w:t>», </w:t>
      </w:r>
      <w:r w:rsidR="009C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="000A34BD" w:rsidRPr="000A34BD">
          <w:rPr>
            <w:rFonts w:ascii="Times New Roman" w:hAnsi="Times New Roman" w:cs="Times New Roman"/>
            <w:sz w:val="26"/>
            <w:szCs w:val="26"/>
          </w:rPr>
          <w:t xml:space="preserve">Постановлением Правительства Российской Федерации от 25.06.2021 № </w:t>
        </w:r>
        <w:r w:rsidR="000A34BD">
          <w:rPr>
            <w:rFonts w:ascii="Times New Roman" w:hAnsi="Times New Roman" w:cs="Times New Roman"/>
            <w:sz w:val="26"/>
            <w:szCs w:val="26"/>
          </w:rPr>
          <w:t>9</w:t>
        </w:r>
        <w:r w:rsidR="000A34BD" w:rsidRPr="000A34BD">
          <w:rPr>
            <w:rFonts w:ascii="Times New Roman" w:hAnsi="Times New Roman" w:cs="Times New Roman"/>
            <w:sz w:val="26"/>
            <w:szCs w:val="26"/>
          </w:rPr>
          <w:t>90</w:t>
        </w:r>
      </w:hyperlink>
      <w:r w:rsidR="000A34BD" w:rsidRPr="000A34BD">
        <w:rPr>
          <w:rFonts w:ascii="Times New Roman" w:hAnsi="Times New Roman" w:cs="Times New Roman"/>
          <w:sz w:val="26"/>
          <w:szCs w:val="26"/>
        </w:rPr>
        <w:t>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«Об утверждении Правил разработки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утверждения </w:t>
      </w:r>
      <w:r w:rsidR="00F338B6">
        <w:rPr>
          <w:rFonts w:ascii="Times New Roman" w:hAnsi="Times New Roman" w:cs="Times New Roman"/>
          <w:sz w:val="26"/>
          <w:szCs w:val="26"/>
        </w:rPr>
        <w:t xml:space="preserve"> к</w:t>
      </w:r>
      <w:r w:rsidR="000A34BD" w:rsidRPr="000A34BD">
        <w:rPr>
          <w:rFonts w:ascii="Times New Roman" w:hAnsi="Times New Roman" w:cs="Times New Roman"/>
          <w:sz w:val="26"/>
          <w:szCs w:val="26"/>
        </w:rPr>
        <w:t>онтрольными</w:t>
      </w:r>
      <w:r>
        <w:rPr>
          <w:rFonts w:ascii="Times New Roman" w:hAnsi="Times New Roman" w:cs="Times New Roman"/>
          <w:sz w:val="26"/>
          <w:szCs w:val="26"/>
        </w:rPr>
        <w:t xml:space="preserve"> (надзорными</w:t>
      </w:r>
      <w:proofErr w:type="gramStart"/>
      <w:r>
        <w:rPr>
          <w:rFonts w:ascii="Times New Roman" w:hAnsi="Times New Roman" w:cs="Times New Roman"/>
          <w:sz w:val="26"/>
          <w:szCs w:val="26"/>
        </w:rPr>
        <w:t>)о</w:t>
      </w:r>
      <w:proofErr w:type="gramEnd"/>
      <w:r w:rsidR="00F338B6">
        <w:rPr>
          <w:rFonts w:ascii="Times New Roman" w:hAnsi="Times New Roman" w:cs="Times New Roman"/>
          <w:sz w:val="26"/>
          <w:szCs w:val="26"/>
        </w:rPr>
        <w:t>рган</w:t>
      </w:r>
      <w:r w:rsidR="000A34BD" w:rsidRPr="000A34BD">
        <w:rPr>
          <w:rFonts w:ascii="Times New Roman" w:hAnsi="Times New Roman" w:cs="Times New Roman"/>
          <w:sz w:val="26"/>
          <w:szCs w:val="26"/>
        </w:rPr>
        <w:t>ами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профилактики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рисков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 причинения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 вреда</w:t>
      </w:r>
    </w:p>
    <w:p w:rsidR="000A34BD" w:rsidRPr="000A34BD" w:rsidRDefault="00F338B6" w:rsidP="00560C5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34BD" w:rsidRPr="000A34BD">
        <w:rPr>
          <w:rFonts w:ascii="Times New Roman" w:hAnsi="Times New Roman" w:cs="Times New Roman"/>
          <w:sz w:val="26"/>
          <w:szCs w:val="26"/>
        </w:rPr>
        <w:t>(ущерба)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»,</w:t>
      </w:r>
    </w:p>
    <w:p w:rsidR="00560C52" w:rsidRDefault="000A34BD" w:rsidP="00560C52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0A34BD" w:rsidRPr="000A34BD" w:rsidRDefault="000A34BD" w:rsidP="00560C5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 Утвердить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Программу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рисков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причинения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вреда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(ущерба) 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r w:rsidR="008D6EC1">
        <w:rPr>
          <w:rFonts w:ascii="Times New Roman" w:hAnsi="Times New Roman" w:cs="Times New Roman"/>
          <w:color w:val="000000"/>
          <w:sz w:val="26"/>
          <w:szCs w:val="26"/>
        </w:rPr>
        <w:t xml:space="preserve">сельское поселение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на 202</w:t>
      </w:r>
      <w:r w:rsidR="006D5BD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 согласно Приложению.</w:t>
      </w:r>
    </w:p>
    <w:p w:rsidR="006D5BDB" w:rsidRDefault="000A34BD" w:rsidP="006D5BDB">
      <w:pPr>
        <w:suppressAutoHyphens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A34BD">
        <w:rPr>
          <w:rFonts w:ascii="Times New Roman" w:hAnsi="Times New Roman" w:cs="Times New Roman"/>
          <w:sz w:val="26"/>
          <w:szCs w:val="26"/>
        </w:rPr>
        <w:t>2.</w:t>
      </w:r>
      <w:r w:rsidR="006A4FC8">
        <w:rPr>
          <w:rFonts w:ascii="Times New Roman" w:hAnsi="Times New Roman" w:cs="Times New Roman"/>
          <w:sz w:val="26"/>
          <w:szCs w:val="26"/>
        </w:rPr>
        <w:t xml:space="preserve"> </w:t>
      </w:r>
      <w:r w:rsidR="006D5BDB" w:rsidRPr="004D71AC">
        <w:rPr>
          <w:rFonts w:ascii="Times New Roman" w:hAnsi="Times New Roman"/>
          <w:sz w:val="26"/>
          <w:szCs w:val="26"/>
        </w:rPr>
        <w:t xml:space="preserve">Настоящее постановление обнародовать на информационном стенде администрации </w:t>
      </w:r>
      <w:proofErr w:type="spellStart"/>
      <w:r w:rsidR="006D5BDB" w:rsidRPr="004D71AC"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="006D5BDB" w:rsidRPr="004D71AC">
        <w:rPr>
          <w:rFonts w:ascii="Times New Roman" w:hAnsi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0A34BD" w:rsidRPr="000A34BD" w:rsidRDefault="000A34BD" w:rsidP="006D5BDB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</w:pPr>
      <w:r w:rsidRPr="000A34BD"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825571" w:rsidRDefault="00825571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536169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лав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                                                  </w:t>
      </w:r>
      <w:r w:rsidR="006A4FC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2B019E">
        <w:rPr>
          <w:rFonts w:ascii="Times New Roman" w:hAnsi="Times New Roman" w:cs="Times New Roman"/>
          <w:color w:val="000000"/>
          <w:sz w:val="26"/>
          <w:szCs w:val="26"/>
        </w:rPr>
        <w:t>А. А. Бойко</w:t>
      </w:r>
    </w:p>
    <w:p w:rsidR="00F72B05" w:rsidRDefault="000A34BD" w:rsidP="006D5BDB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  <w:r w:rsidR="006A4FC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</w:t>
      </w:r>
      <w:r w:rsidR="00F338B6">
        <w:rPr>
          <w:rFonts w:ascii="Times New Roman" w:hAnsi="Times New Roman" w:cs="Times New Roman"/>
          <w:color w:val="000000"/>
        </w:rPr>
        <w:t xml:space="preserve"> </w:t>
      </w:r>
    </w:p>
    <w:p w:rsidR="000A34BD" w:rsidRPr="000A34BD" w:rsidRDefault="00F72B05" w:rsidP="00F72B05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F338B6">
        <w:rPr>
          <w:rFonts w:ascii="Times New Roman" w:hAnsi="Times New Roman" w:cs="Times New Roman"/>
          <w:color w:val="000000"/>
        </w:rPr>
        <w:t xml:space="preserve"> </w:t>
      </w:r>
      <w:r w:rsidR="000A34BD" w:rsidRPr="000A34BD">
        <w:rPr>
          <w:rFonts w:ascii="Times New Roman" w:hAnsi="Times New Roman" w:cs="Times New Roman"/>
          <w:color w:val="000000"/>
        </w:rPr>
        <w:t>Приложение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к постановлению Администрации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536169">
        <w:rPr>
          <w:rFonts w:ascii="Times New Roman" w:hAnsi="Times New Roman" w:cs="Times New Roman"/>
          <w:color w:val="000000"/>
        </w:rPr>
        <w:t>Рожк</w:t>
      </w:r>
      <w:r w:rsidR="000A34BD" w:rsidRPr="000A34BD">
        <w:rPr>
          <w:rFonts w:ascii="Times New Roman" w:hAnsi="Times New Roman" w:cs="Times New Roman"/>
          <w:color w:val="000000"/>
        </w:rPr>
        <w:t>овского</w:t>
      </w:r>
      <w:proofErr w:type="spellEnd"/>
      <w:r w:rsidR="000A34BD" w:rsidRPr="000A34BD">
        <w:rPr>
          <w:rFonts w:ascii="Times New Roman" w:hAnsi="Times New Roman" w:cs="Times New Roman"/>
          <w:color w:val="000000"/>
        </w:rPr>
        <w:t> сельсовета </w:t>
      </w:r>
      <w:proofErr w:type="spellStart"/>
      <w:r w:rsidR="000A34BD" w:rsidRPr="000A34BD">
        <w:rPr>
          <w:rFonts w:ascii="Times New Roman" w:hAnsi="Times New Roman" w:cs="Times New Roman"/>
          <w:color w:val="000000"/>
        </w:rPr>
        <w:t>Бурлинского</w:t>
      </w:r>
      <w:proofErr w:type="spellEnd"/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района Алтайского края    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№</w:t>
      </w:r>
      <w:r w:rsidR="00F72B05">
        <w:rPr>
          <w:rFonts w:ascii="Times New Roman" w:hAnsi="Times New Roman" w:cs="Times New Roman"/>
          <w:color w:val="000000"/>
        </w:rPr>
        <w:t xml:space="preserve"> 38</w:t>
      </w:r>
      <w:r w:rsidR="00536169">
        <w:rPr>
          <w:rFonts w:ascii="Times New Roman" w:hAnsi="Times New Roman" w:cs="Times New Roman"/>
          <w:color w:val="000000"/>
        </w:rPr>
        <w:t xml:space="preserve"> </w:t>
      </w:r>
      <w:r w:rsidR="006D5BDB">
        <w:rPr>
          <w:rFonts w:ascii="Times New Roman" w:hAnsi="Times New Roman" w:cs="Times New Roman"/>
          <w:color w:val="000000"/>
        </w:rPr>
        <w:t xml:space="preserve"> </w:t>
      </w:r>
      <w:r w:rsidR="000A34BD" w:rsidRPr="000A34BD">
        <w:rPr>
          <w:rFonts w:ascii="Times New Roman" w:hAnsi="Times New Roman" w:cs="Times New Roman"/>
          <w:color w:val="000000"/>
        </w:rPr>
        <w:t>от </w:t>
      </w:r>
      <w:r w:rsidR="00F72B05">
        <w:rPr>
          <w:rFonts w:ascii="Times New Roman" w:hAnsi="Times New Roman" w:cs="Times New Roman"/>
          <w:color w:val="000000"/>
        </w:rPr>
        <w:t>05.12.</w:t>
      </w:r>
      <w:r w:rsidR="006D5BDB">
        <w:rPr>
          <w:rFonts w:ascii="Times New Roman" w:hAnsi="Times New Roman" w:cs="Times New Roman"/>
          <w:color w:val="000000"/>
        </w:rPr>
        <w:t xml:space="preserve"> 2025</w:t>
      </w:r>
      <w:r w:rsidR="003120ED">
        <w:rPr>
          <w:rFonts w:ascii="Times New Roman" w:hAnsi="Times New Roman" w:cs="Times New Roman"/>
          <w:color w:val="000000"/>
        </w:rPr>
        <w:t xml:space="preserve"> г.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 территории муниципального образования </w:t>
      </w:r>
      <w:r w:rsidR="008D6E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сельское поселение </w:t>
      </w:r>
      <w:r w:rsidR="0053616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овский сельсовет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6D5BDB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4"/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r w:rsidR="008D6EC1">
        <w:rPr>
          <w:rFonts w:ascii="Times New Roman" w:hAnsi="Times New Roman" w:cs="Times New Roman"/>
          <w:color w:val="000000"/>
          <w:sz w:val="26"/>
          <w:szCs w:val="26"/>
        </w:rPr>
        <w:t xml:space="preserve">сельское поселение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на 202</w:t>
      </w:r>
      <w:r w:rsidR="006D5BD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0A34BD" w:rsidRPr="000A34BD" w:rsidRDefault="000A34BD" w:rsidP="006A4FC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31.07.2020 № 248-ФЗ</w:t>
        </w:r>
      </w:hyperlink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утвержденного Решением Сельского Собрания депутатов </w:t>
      </w:r>
      <w:proofErr w:type="spellStart"/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</w:t>
      </w:r>
      <w:r w:rsidRPr="000A34BD">
        <w:rPr>
          <w:rFonts w:ascii="Times New Roman" w:hAnsi="Times New Roman" w:cs="Times New Roman"/>
          <w:sz w:val="26"/>
          <w:szCs w:val="26"/>
        </w:rPr>
        <w:t>края  </w:t>
      </w:r>
      <w:hyperlink r:id="rId7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от </w:t>
        </w:r>
        <w:r w:rsidR="00536169">
          <w:rPr>
            <w:rFonts w:ascii="Times New Roman" w:hAnsi="Times New Roman" w:cs="Times New Roman"/>
            <w:sz w:val="26"/>
            <w:szCs w:val="26"/>
          </w:rPr>
          <w:t>24</w:t>
        </w:r>
        <w:r w:rsidRPr="000A34BD">
          <w:rPr>
            <w:rFonts w:ascii="Times New Roman" w:hAnsi="Times New Roman" w:cs="Times New Roman"/>
            <w:sz w:val="26"/>
            <w:szCs w:val="26"/>
          </w:rPr>
          <w:t>.12.2021 г. №</w:t>
        </w:r>
      </w:hyperlink>
      <w:r w:rsidR="00536169">
        <w:rPr>
          <w:rFonts w:ascii="Times New Roman" w:hAnsi="Times New Roman" w:cs="Times New Roman"/>
          <w:sz w:val="26"/>
          <w:szCs w:val="26"/>
        </w:rPr>
        <w:t>15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 подлежит исполнению Администрацией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  (далее по тексту – Администрация). 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A34BD" w:rsidRPr="007F2DDE" w:rsidRDefault="000A34BD" w:rsidP="000A34BD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1.1. Вид муниципального контроля: муниципальный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контроль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r w:rsidR="006A4FC8">
        <w:rPr>
          <w:rFonts w:ascii="Times New Roman" w:hAnsi="Times New Roman" w:cs="Times New Roman"/>
          <w:color w:val="000000"/>
          <w:sz w:val="26"/>
          <w:szCs w:val="26"/>
        </w:rPr>
        <w:t xml:space="preserve">сельское поселение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1.2. Предметом муниципального контроля является: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равилами благоустройства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 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овский сельсовет Бурлинского района Алтайского края, утвержденных решением Сельского Собрания депутатов муниципального образования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 Бурлинского района Алтайского края от 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>27.06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.2019 №</w:t>
      </w:r>
      <w:r w:rsidR="00CE1A5B">
        <w:rPr>
          <w:rFonts w:ascii="Times New Roman" w:hAnsi="Times New Roman" w:cs="Times New Roman"/>
          <w:color w:val="000000"/>
          <w:sz w:val="26"/>
          <w:szCs w:val="26"/>
        </w:rPr>
        <w:t xml:space="preserve"> 9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образования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 сельсовет, в соответствии с Правилами; исполнение решений, принимаемых по результатам контрольных мероприятий.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2.1. Целями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4) предупреждение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2.2. Задачами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Укрепление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 информирование;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 обобщение правоприменительной практики;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 объявление предостережения;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 консультирование;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 профилактический визит.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их проведения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55"/>
        <w:gridCol w:w="2706"/>
        <w:gridCol w:w="2425"/>
      </w:tblGrid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</w:t>
            </w:r>
            <w:r w:rsidR="00536169">
              <w:rPr>
                <w:color w:val="000000"/>
                <w:sz w:val="26"/>
                <w:szCs w:val="26"/>
              </w:rPr>
              <w:t xml:space="preserve">ну, посредством </w:t>
            </w:r>
            <w:proofErr w:type="spellStart"/>
            <w:r w:rsidR="00536169">
              <w:rPr>
                <w:color w:val="000000"/>
                <w:sz w:val="26"/>
                <w:szCs w:val="26"/>
              </w:rPr>
              <w:t>видео-конференц-</w:t>
            </w:r>
            <w:r w:rsidRPr="000A34BD">
              <w:rPr>
                <w:color w:val="000000"/>
                <w:sz w:val="26"/>
                <w:szCs w:val="26"/>
              </w:rPr>
              <w:t>связи</w:t>
            </w:r>
            <w:proofErr w:type="spellEnd"/>
            <w:r w:rsidRPr="000A34BD">
              <w:rPr>
                <w:color w:val="000000"/>
                <w:sz w:val="26"/>
                <w:szCs w:val="26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</w:t>
            </w:r>
            <w:r w:rsidR="00536169">
              <w:rPr>
                <w:color w:val="000000"/>
                <w:sz w:val="26"/>
                <w:szCs w:val="26"/>
              </w:rPr>
              <w:t xml:space="preserve"> </w:t>
            </w:r>
            <w:r w:rsidRPr="000A34BD">
              <w:rPr>
                <w:color w:val="000000"/>
                <w:sz w:val="26"/>
                <w:szCs w:val="26"/>
              </w:rPr>
              <w:t>Контрольного органа. Консультирование производится по вопросам: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4. Показатели результативности и эффективности Программы профилактики</w:t>
      </w:r>
    </w:p>
    <w:p w:rsidR="000A34BD" w:rsidRPr="000A34BD" w:rsidRDefault="000A34BD" w:rsidP="000A34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4.1. Показатели результативности Программы 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со следующей таблицей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0A34BD" w:rsidRPr="000A34BD" w:rsidTr="000A34BD">
        <w:tc>
          <w:tcPr>
            <w:tcW w:w="926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4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Величина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Исполнено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/ Н</w:t>
            </w:r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исполнено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</w:tbl>
    <w:p w:rsid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4.2. Под оценкой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понимается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оценка изменения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количества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обязательных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требований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итогам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мероприятий.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4.3.Текущая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ежеквартальная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)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эффективности Программы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осуществляется главой  сельсовета.</w:t>
      </w:r>
    </w:p>
    <w:p w:rsidR="000A34BD" w:rsidRPr="000A34BD" w:rsidRDefault="000A34BD" w:rsidP="006008F1">
      <w:pPr>
        <w:spacing w:after="0"/>
        <w:ind w:right="-1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4.4. Ежегодная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главой сельсовета.</w:t>
      </w:r>
    </w:p>
    <w:p w:rsidR="000A34BD" w:rsidRPr="000A34BD" w:rsidRDefault="000A34BD" w:rsidP="0053616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Для осуществления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ежегодной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 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Администрацией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позднее 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1 июля 202</w:t>
      </w:r>
      <w:r w:rsidR="006D5BDB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года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(года, следующего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за отчетным)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 Сельско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муниципального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8D6EC1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>Рожк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овский</w:t>
      </w:r>
      <w:r w:rsidR="005361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сельсовет </w:t>
      </w:r>
      <w:proofErr w:type="spell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края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информация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 степени достижения 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настоящим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разделом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  <w:proofErr w:type="gramEnd"/>
    </w:p>
    <w:p w:rsidR="00337006" w:rsidRDefault="00337006" w:rsidP="000A34BD">
      <w:pPr>
        <w:spacing w:after="0"/>
      </w:pPr>
    </w:p>
    <w:sectPr w:rsidR="00337006" w:rsidSect="00560C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4BD"/>
    <w:rsid w:val="00084DCF"/>
    <w:rsid w:val="000A34BD"/>
    <w:rsid w:val="002144B2"/>
    <w:rsid w:val="002B019E"/>
    <w:rsid w:val="002C2B7D"/>
    <w:rsid w:val="002F624A"/>
    <w:rsid w:val="002F66AA"/>
    <w:rsid w:val="00310C90"/>
    <w:rsid w:val="003120ED"/>
    <w:rsid w:val="003368AE"/>
    <w:rsid w:val="00337006"/>
    <w:rsid w:val="004633C1"/>
    <w:rsid w:val="004751EF"/>
    <w:rsid w:val="00536169"/>
    <w:rsid w:val="00560C52"/>
    <w:rsid w:val="006008F1"/>
    <w:rsid w:val="00613681"/>
    <w:rsid w:val="006261B5"/>
    <w:rsid w:val="006379FD"/>
    <w:rsid w:val="006A4FC8"/>
    <w:rsid w:val="006D5BDB"/>
    <w:rsid w:val="006F4FB2"/>
    <w:rsid w:val="00825571"/>
    <w:rsid w:val="0085666B"/>
    <w:rsid w:val="008D6EC1"/>
    <w:rsid w:val="009B5D86"/>
    <w:rsid w:val="009C60FC"/>
    <w:rsid w:val="00B13C1C"/>
    <w:rsid w:val="00B84DA6"/>
    <w:rsid w:val="00CD0763"/>
    <w:rsid w:val="00CE1A5B"/>
    <w:rsid w:val="00EE3100"/>
    <w:rsid w:val="00F338B6"/>
    <w:rsid w:val="00F5554A"/>
    <w:rsid w:val="00F7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6B"/>
  </w:style>
  <w:style w:type="paragraph" w:styleId="1">
    <w:name w:val="heading 1"/>
    <w:basedOn w:val="a"/>
    <w:next w:val="a"/>
    <w:link w:val="10"/>
    <w:qFormat/>
    <w:rsid w:val="000A3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4BD"/>
    <w:rPr>
      <w:rFonts w:ascii="Times New Roman" w:eastAsia="Times New Roman" w:hAnsi="Times New Roman" w:cs="Times New Roman"/>
      <w:sz w:val="28"/>
      <w:szCs w:val="24"/>
    </w:rPr>
  </w:style>
  <w:style w:type="character" w:customStyle="1" w:styleId="hyperlink">
    <w:name w:val="hyperlink"/>
    <w:basedOn w:val="a0"/>
    <w:rsid w:val="000A34BD"/>
  </w:style>
  <w:style w:type="paragraph" w:customStyle="1" w:styleId="consplusnormal">
    <w:name w:val="consplusnormal"/>
    <w:basedOn w:val="a"/>
    <w:rsid w:val="000A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BE2C-7594-4D09-A1CB-10E9E3DA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Рожковский сельсовет</cp:lastModifiedBy>
  <cp:revision>2</cp:revision>
  <cp:lastPrinted>2024-12-12T03:05:00Z</cp:lastPrinted>
  <dcterms:created xsi:type="dcterms:W3CDTF">2025-12-05T10:14:00Z</dcterms:created>
  <dcterms:modified xsi:type="dcterms:W3CDTF">2025-12-05T10:14:00Z</dcterms:modified>
</cp:coreProperties>
</file>